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2D" w:rsidRDefault="00E22F2D">
      <w:pPr>
        <w:pStyle w:val="ConsPlusNormal0"/>
        <w:jc w:val="both"/>
        <w:outlineLvl w:val="0"/>
      </w:pPr>
      <w:bookmarkStart w:id="0" w:name="_GoBack"/>
      <w:bookmarkEnd w:id="0"/>
    </w:p>
    <w:p w:rsidR="00E22F2D" w:rsidRDefault="002F44B3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E22F2D" w:rsidRDefault="00E22F2D">
      <w:pPr>
        <w:pStyle w:val="ConsPlusTitle0"/>
        <w:jc w:val="center"/>
      </w:pPr>
    </w:p>
    <w:p w:rsidR="00E22F2D" w:rsidRDefault="002F44B3">
      <w:pPr>
        <w:pStyle w:val="ConsPlusTitle0"/>
        <w:jc w:val="center"/>
      </w:pPr>
      <w:r>
        <w:t>ПОСТАНОВЛЕНИЕ</w:t>
      </w:r>
    </w:p>
    <w:p w:rsidR="00E22F2D" w:rsidRDefault="002F44B3">
      <w:pPr>
        <w:pStyle w:val="ConsPlusTitle0"/>
        <w:jc w:val="center"/>
      </w:pPr>
      <w:r>
        <w:t>от 25 июня 2021 г. N 991</w:t>
      </w:r>
    </w:p>
    <w:p w:rsidR="00E22F2D" w:rsidRDefault="00E22F2D">
      <w:pPr>
        <w:pStyle w:val="ConsPlusTitle0"/>
        <w:jc w:val="center"/>
      </w:pPr>
    </w:p>
    <w:p w:rsidR="00E22F2D" w:rsidRDefault="002F44B3">
      <w:pPr>
        <w:pStyle w:val="ConsPlusTitle0"/>
        <w:jc w:val="center"/>
      </w:pPr>
      <w:r>
        <w:t>ОБ УТВЕРЖДЕНИИ ПОЛОЖЕНИЯ</w:t>
      </w:r>
    </w:p>
    <w:p w:rsidR="00E22F2D" w:rsidRDefault="002F44B3">
      <w:pPr>
        <w:pStyle w:val="ConsPlusTitle0"/>
        <w:jc w:val="center"/>
      </w:pPr>
      <w:r>
        <w:t>О ФЕДЕРАЛЬНОМ ГОСУДАРСТВЕННОМ КОНТРОЛЕ (НАДЗОРЕ) В ОБЛАСТИ</w:t>
      </w:r>
    </w:p>
    <w:p w:rsidR="00E22F2D" w:rsidRDefault="002F44B3">
      <w:pPr>
        <w:pStyle w:val="ConsPlusTitle0"/>
        <w:jc w:val="center"/>
      </w:pPr>
      <w:r>
        <w:t>ЖЕЛЕЗНОДОРОЖНОГО ТРАНСПОРТА</w:t>
      </w:r>
    </w:p>
    <w:p w:rsidR="00E22F2D" w:rsidRDefault="00E22F2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22F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F2D" w:rsidRDefault="00E22F2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F2D" w:rsidRDefault="00E22F2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2F2D" w:rsidRDefault="002F44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2F2D" w:rsidRDefault="002F44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20.11.2021 </w:t>
            </w:r>
            <w:hyperlink r:id="rId7" w:tooltip="Постановление Правительства РФ от 20.11.2021 N 1986 &quot;О внесении изменений в Положение о федеральном государственном контроле (надзоре) в области железнодорожного транспорта&quot; {КонсультантПлюс}">
              <w:r>
                <w:rPr>
                  <w:color w:val="0000FF"/>
                </w:rPr>
                <w:t>N 1986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22F2D" w:rsidRDefault="002F44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21.12.2023 </w:t>
            </w:r>
            <w:hyperlink r:id="rId8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      <w:r>
                <w:rPr>
                  <w:color w:val="0000FF"/>
                </w:rPr>
                <w:t>N 2244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F2D" w:rsidRDefault="00E22F2D">
            <w:pPr>
              <w:pStyle w:val="ConsPlusNormal0"/>
            </w:pPr>
          </w:p>
        </w:tc>
      </w:tr>
    </w:tbl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 xml:space="preserve">В соответствии со </w:t>
      </w:r>
      <w:hyperlink r:id="rId9" w:tooltip="Федеральный закон от 10.01.2003 N 17-ФЗ (ред. от 25.12.2023) &quot;О железнодорожном транспорте в Российской Федерации&quot; {КонсультантПлюс}">
        <w:r>
          <w:rPr>
            <w:color w:val="0000FF"/>
          </w:rPr>
          <w:t>статьей 20.1</w:t>
        </w:r>
      </w:hyperlink>
      <w:r>
        <w:t xml:space="preserve"> Федерального закона "О железнодорожном транспорт</w:t>
      </w:r>
      <w:r>
        <w:t xml:space="preserve">е в Российской Федерации" и Федеральным </w:t>
      </w:r>
      <w:hyperlink r:id="rId1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Правительство Российской Федерации постанов</w:t>
      </w:r>
      <w:r>
        <w:t>ляет: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1" w:tooltip="ПОЛОЖЕНИЕ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в области железнодорожного транспорта.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Реализация полномочий Федеральной службы по надзору в сфере транспорта,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ее центрального аппарата и те</w:t>
      </w:r>
      <w:r>
        <w:t>рриториальных органов, а также бюджетных ассигнований, предусмотренных указанной Службе в федеральном бюджете на руководство и управление в сфере установленных функций.</w:t>
      </w:r>
      <w:proofErr w:type="gramEnd"/>
    </w:p>
    <w:p w:rsidR="00E22F2D" w:rsidRDefault="002F44B3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 1 июля 2021 г.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jc w:val="right"/>
      </w:pPr>
      <w:r>
        <w:t>Председатель Правительства</w:t>
      </w:r>
    </w:p>
    <w:p w:rsidR="00E22F2D" w:rsidRDefault="002F44B3">
      <w:pPr>
        <w:pStyle w:val="ConsPlusNormal0"/>
        <w:jc w:val="right"/>
      </w:pPr>
      <w:r>
        <w:t>Российской Федерации</w:t>
      </w:r>
    </w:p>
    <w:p w:rsidR="00E22F2D" w:rsidRDefault="002F44B3">
      <w:pPr>
        <w:pStyle w:val="ConsPlusNormal0"/>
        <w:jc w:val="right"/>
      </w:pPr>
      <w:r>
        <w:t>М.МИШУСТИН</w:t>
      </w:r>
    </w:p>
    <w:p w:rsidR="00E22F2D" w:rsidRDefault="00E22F2D">
      <w:pPr>
        <w:pStyle w:val="ConsPlusNormal0"/>
        <w:jc w:val="both"/>
      </w:pPr>
    </w:p>
    <w:p w:rsidR="00E22F2D" w:rsidRDefault="00E22F2D">
      <w:pPr>
        <w:pStyle w:val="ConsPlusNormal0"/>
        <w:jc w:val="both"/>
      </w:pPr>
    </w:p>
    <w:p w:rsidR="00E22F2D" w:rsidRDefault="00E22F2D">
      <w:pPr>
        <w:pStyle w:val="ConsPlusNormal0"/>
        <w:jc w:val="both"/>
      </w:pPr>
    </w:p>
    <w:p w:rsidR="00E22F2D" w:rsidRDefault="00E22F2D">
      <w:pPr>
        <w:pStyle w:val="ConsPlusNormal0"/>
        <w:jc w:val="both"/>
      </w:pP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jc w:val="right"/>
        <w:outlineLvl w:val="0"/>
      </w:pPr>
      <w:r>
        <w:t>Утверждено</w:t>
      </w:r>
    </w:p>
    <w:p w:rsidR="00E22F2D" w:rsidRDefault="002F44B3">
      <w:pPr>
        <w:pStyle w:val="ConsPlusNormal0"/>
        <w:jc w:val="right"/>
      </w:pPr>
      <w:r>
        <w:t>постановлением Правительства</w:t>
      </w:r>
    </w:p>
    <w:p w:rsidR="00E22F2D" w:rsidRDefault="002F44B3">
      <w:pPr>
        <w:pStyle w:val="ConsPlusNormal0"/>
        <w:jc w:val="right"/>
      </w:pPr>
      <w:r>
        <w:t>Российской Федерации</w:t>
      </w:r>
    </w:p>
    <w:p w:rsidR="00E22F2D" w:rsidRDefault="002F44B3">
      <w:pPr>
        <w:pStyle w:val="ConsPlusNormal0"/>
        <w:jc w:val="right"/>
      </w:pPr>
      <w:r>
        <w:t>от 25 июня 2021 г. N 991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</w:pPr>
      <w:bookmarkStart w:id="1" w:name="P31"/>
      <w:bookmarkEnd w:id="1"/>
      <w:r>
        <w:t>ПОЛОЖЕНИЕ</w:t>
      </w:r>
    </w:p>
    <w:p w:rsidR="00E22F2D" w:rsidRDefault="002F44B3">
      <w:pPr>
        <w:pStyle w:val="ConsPlusTitle0"/>
        <w:jc w:val="center"/>
      </w:pPr>
      <w:r>
        <w:t>О ФЕДЕРАЛЬНОМ ГОСУДАРСТВЕННОМ КОНТРОЛЕ (НАДЗОРЕ) В ОБЛАСТИ</w:t>
      </w:r>
    </w:p>
    <w:p w:rsidR="00E22F2D" w:rsidRDefault="002F44B3">
      <w:pPr>
        <w:pStyle w:val="ConsPlusTitle0"/>
        <w:jc w:val="center"/>
      </w:pPr>
      <w:r>
        <w:lastRenderedPageBreak/>
        <w:t>ЖЕЛЕЗНОДОРОЖНОГО ТРАНСПОРТА</w:t>
      </w:r>
    </w:p>
    <w:p w:rsidR="00E22F2D" w:rsidRDefault="00E22F2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22F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F2D" w:rsidRDefault="00E22F2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F2D" w:rsidRDefault="00E22F2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2F2D" w:rsidRDefault="002F44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2F2D" w:rsidRDefault="002F44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20.11.2021 </w:t>
            </w:r>
            <w:hyperlink r:id="rId11" w:tooltip="Постановление Правительства РФ от 20.11.2021 N 1986 &quot;О внесении изменений в Положение о федеральном государственном контроле (надзоре) в области железнодорожного транспорта&quot; {КонсультантПлюс}">
              <w:r>
                <w:rPr>
                  <w:color w:val="0000FF"/>
                </w:rPr>
                <w:t>N 1986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22F2D" w:rsidRDefault="002F44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21.12.2023 </w:t>
            </w:r>
            <w:hyperlink r:id="rId12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      <w:r>
                <w:rPr>
                  <w:color w:val="0000FF"/>
                </w:rPr>
                <w:t>N 2244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F2D" w:rsidRDefault="00E22F2D">
            <w:pPr>
              <w:pStyle w:val="ConsPlusNormal0"/>
            </w:pPr>
          </w:p>
        </w:tc>
      </w:tr>
    </w:tbl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1"/>
      </w:pPr>
      <w:r>
        <w:t>I. Общие положения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организации и осуществления федерального государственного контроля (надзора) в области железнодорожного транспорта (далее - государственный контроль (надзор).</w:t>
      </w:r>
      <w:proofErr w:type="gramEnd"/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2. Государственный контроль (надзор) осуществляется </w:t>
      </w:r>
      <w:r>
        <w:t>Федеральной службой по надзору в сфере транспорта (ее территориальными органами) (далее - контролирующий орган).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3. Предметом государственного контроля (надзора) являются:</w:t>
      </w:r>
    </w:p>
    <w:p w:rsidR="00E22F2D" w:rsidRDefault="002F44B3">
      <w:pPr>
        <w:pStyle w:val="ConsPlusNormal0"/>
        <w:spacing w:before="240"/>
        <w:ind w:firstLine="540"/>
        <w:jc w:val="both"/>
      </w:pPr>
      <w:proofErr w:type="gramStart"/>
      <w:r>
        <w:t xml:space="preserve">а) соблюдение обязательных требований, установленных Федеральным </w:t>
      </w:r>
      <w:hyperlink r:id="rId13" w:tooltip="Федеральный закон от 10.01.2003 N 17-ФЗ (ред. от 25.12.2023)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железнодорожном транспорте в </w:t>
      </w:r>
      <w:r>
        <w:t>Российской Федерации" (далее - Федеральный закон о виде контроля) и принимаемыми в соответствии с ним иными нормативными правовыми актами Российской Федерации в области железнодорожного транспорта, лицензионных требований в области железнодорожного транспо</w:t>
      </w:r>
      <w:r>
        <w:t>рта организациями-лицензиатами, осуществляющими деятельность по перевозкам железнодорожным транспортом пассажиров, деятельность по перевозкам железнодорожным транспортом опасных грузов, погрузочно-разгрузочную деятельность применительно к</w:t>
      </w:r>
      <w:proofErr w:type="gramEnd"/>
      <w:r>
        <w:t xml:space="preserve"> опасным грузам;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б</w:t>
      </w:r>
      <w:r>
        <w:t xml:space="preserve">) соблюдение обязательных требований, установленных Федеральным </w:t>
      </w:r>
      <w:hyperlink r:id="rId14" w:tooltip="Федеральный закон от 10.01.2003 N 17-ФЗ (ред. от 25.12.2023)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 виде контроля и принимаемыми в соответствии с ним иными нормативными правовыми актами Российской Федерации, организациями и индивидуальными предпринимателями, осуществляющими: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перевозке г</w:t>
      </w:r>
      <w:r>
        <w:t xml:space="preserve">рузов, багажа, </w:t>
      </w:r>
      <w:proofErr w:type="spellStart"/>
      <w:r>
        <w:t>грузобагажа</w:t>
      </w:r>
      <w:proofErr w:type="spellEnd"/>
      <w:r>
        <w:t xml:space="preserve"> железнодорожным транспортом;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погрузочно-разгрузочную деятельность на железнодорожном транспорте;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эксплуатации, обслуживанию и ремонту инфраструктуры железнодорожного транспорта общего пользования и составных часте</w:t>
      </w:r>
      <w:r>
        <w:t>й подсистем и элементов составных частей подсистем инфраструктуры железнодорожного транспорта;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эксплуатации, обслуживанию и ремонту железнодорожных путей необщего пользования и составных частей подсистем и элементов составных частей подсист</w:t>
      </w:r>
      <w:r>
        <w:t>ем железнодорожных путей необщего пользования;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эксплуатации, обслуживанию и ремонту железнодорожного подвижного состава и его составных частей;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в) соблюдение установленных Федеральным </w:t>
      </w:r>
      <w:hyperlink r:id="rId15" w:tooltip="Федеральный закон от 10.01.2003 N 17-ФЗ (ред. от 25.12.2023)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 виде контроля и иными </w:t>
      </w:r>
      <w:r>
        <w:lastRenderedPageBreak/>
        <w:t>нормативными правовыми актами Российской Феде</w:t>
      </w:r>
      <w:r>
        <w:t xml:space="preserve">рации обязательных требований в области железнодорожного транспорта </w:t>
      </w:r>
      <w:proofErr w:type="gramStart"/>
      <w:r>
        <w:t>к</w:t>
      </w:r>
      <w:proofErr w:type="gramEnd"/>
      <w:r>
        <w:t>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безопасности движения и эксплуатации железнодорожного транспорта;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строительству, приемке в эксплуатацию объектов инфраструктуры железнодорожного транспорта (за исключением объектов капи</w:t>
      </w:r>
      <w:r>
        <w:t xml:space="preserve">тального строительства, в отношении которых осуществляется государственный строительный надзор в случаях, предусмотренных Градостроительным </w:t>
      </w:r>
      <w:hyperlink r:id="rId16" w:tooltip="&quot;Градостроительный кодекс Российской Федерации&quot; от 29.12.2004 N 190-ФЗ (ред. от 24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Федерации) и их эксплуатации;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обеспечению пожарной безопасности железнодорожного подвижного состава при его эксплуатации;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обеспечению доступ</w:t>
      </w:r>
      <w:r>
        <w:t>ности для инвалидов объектов инфраструктуры железнодорожного транспорта, железнодорожного подвижного состава и предоставляемых услуг;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соответствию установленным требованиям функциональных подсистем единой государственной системы предупреждения и ликвидации</w:t>
      </w:r>
      <w:r>
        <w:t xml:space="preserve"> чрезвычайных ситуаций;</w:t>
      </w:r>
    </w:p>
    <w:p w:rsidR="00E22F2D" w:rsidRDefault="002F44B3">
      <w:pPr>
        <w:pStyle w:val="ConsPlusNormal0"/>
        <w:spacing w:before="240"/>
        <w:ind w:firstLine="540"/>
        <w:jc w:val="both"/>
      </w:pPr>
      <w:proofErr w:type="gramStart"/>
      <w:r>
        <w:t>организациям, индивидуальным предпринимателям и гражданам, во владении (пользовании) которых находятся здания, помещения, сооружения, линейные объекты, территории, оборудование, устройства, предметы, материалы, железнодорожный подви</w:t>
      </w:r>
      <w:r>
        <w:t>жной состав и иные связанные с перевозочным процессом транспортные и технические средства;</w:t>
      </w:r>
      <w:proofErr w:type="gramEnd"/>
    </w:p>
    <w:p w:rsidR="00E22F2D" w:rsidRDefault="002F44B3">
      <w:pPr>
        <w:pStyle w:val="ConsPlusNormal0"/>
        <w:spacing w:before="240"/>
        <w:ind w:firstLine="540"/>
        <w:jc w:val="both"/>
      </w:pPr>
      <w:proofErr w:type="gramStart"/>
      <w:r>
        <w:t>организациям, индивидуальным предпринимателям и гражданам, выполняющим (оказывающим) вспомогательные работы (услуги) при перевозке железнодорожным транспортом (опера</w:t>
      </w:r>
      <w:r>
        <w:t xml:space="preserve">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</w:t>
      </w:r>
      <w:proofErr w:type="spellStart"/>
      <w:r>
        <w:t>грузоб</w:t>
      </w:r>
      <w:r>
        <w:t>агажа</w:t>
      </w:r>
      <w:proofErr w:type="spellEnd"/>
      <w:r>
        <w:t xml:space="preserve"> железнодорожным транспортом);</w:t>
      </w:r>
      <w:proofErr w:type="gramEnd"/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г) соблюдение изготовителем, исполнителем (лицом, выполняющим функции иностранного изготовителя), продавцом требований, установленных </w:t>
      </w:r>
      <w:hyperlink r:id="rId17" w:tooltip="Решение Комиссии Таможенного союза от 15.07.2011 N 710 (ред. от 30.03.2023) &quot;О принятии технических регламентов Таможенного союза &quot;О безопасности железнодорожного подвижного состава&quot;, &quot;О безопасности высокоскоростного железнодорожного транспорта&quot; и &quot;О безопасн">
        <w:r>
          <w:rPr>
            <w:color w:val="0000FF"/>
          </w:rPr>
          <w:t>разделами V</w:t>
        </w:r>
      </w:hyperlink>
      <w:r>
        <w:t xml:space="preserve">, </w:t>
      </w:r>
      <w:hyperlink r:id="rId18" w:tooltip="Решение Комиссии Таможенного союза от 15.07.2011 N 710 (ред. от 30.03.2023) &quot;О принятии технических регламентов Таможенного союза &quot;О безопасности железнодорожного подвижного состава&quot;, &quot;О безопасности высокоскоростного железнодорожного транспорта&quot; и &quot;О безопасн">
        <w:r>
          <w:rPr>
            <w:color w:val="0000FF"/>
          </w:rPr>
          <w:t>VIII</w:t>
        </w:r>
      </w:hyperlink>
      <w:r>
        <w:t xml:space="preserve"> технического регламента Таможенного союза "О безопасности железн</w:t>
      </w:r>
      <w:r>
        <w:t>одорожного подвижного состава" (</w:t>
      </w:r>
      <w:proofErr w:type="gramStart"/>
      <w:r>
        <w:t>ТР</w:t>
      </w:r>
      <w:proofErr w:type="gramEnd"/>
      <w:r>
        <w:t xml:space="preserve"> ТС 001/2011), </w:t>
      </w:r>
      <w:hyperlink r:id="rId19" w:tooltip="Решение Комиссии Таможенного союза от 15.07.2011 N 710 (ред. от 30.03.2023) &quot;О принятии технических регламентов Таможенного союза &quot;О безопасности железнодорожного подвижного состава&quot;, &quot;О безопасности высокоскоростного железнодорожного транспорта&quot; и &quot;О безопасн">
        <w:r>
          <w:rPr>
            <w:color w:val="0000FF"/>
          </w:rPr>
          <w:t>разделами V</w:t>
        </w:r>
      </w:hyperlink>
      <w:r>
        <w:t xml:space="preserve">, </w:t>
      </w:r>
      <w:hyperlink r:id="rId20" w:tooltip="Решение Комиссии Таможенного союза от 15.07.2011 N 710 (ред. от 30.03.2023) &quot;О принятии технических регламентов Таможенного союза &quot;О безопасности железнодорожного подвижного состава&quot;, &quot;О безопасности высокоскоростного железнодорожного транспорта&quot; и &quot;О безопасн">
        <w:r>
          <w:rPr>
            <w:color w:val="0000FF"/>
          </w:rPr>
          <w:t>VIII</w:t>
        </w:r>
      </w:hyperlink>
      <w:r>
        <w:t xml:space="preserve"> технического регламента Таможенного союза "О безопасности высокоскоростного железнодорожного транспорта" (ТР ТС 002/2011), </w:t>
      </w:r>
      <w:hyperlink r:id="rId21" w:tooltip="Решение Комиссии Таможенного союза от 15.07.2011 N 710 (ред. от 30.03.2023) &quot;О принятии технических регламентов Таможенного союза &quot;О безопасности железнодорожного подвижного состава&quot;, &quot;О безопасности высокоскоростного железнодорожного транспорта&quot; и &quot;О безопасн">
        <w:r>
          <w:rPr>
            <w:color w:val="0000FF"/>
          </w:rPr>
          <w:t>разделами V</w:t>
        </w:r>
      </w:hyperlink>
      <w:r>
        <w:t xml:space="preserve">, </w:t>
      </w:r>
      <w:hyperlink r:id="rId22" w:tooltip="Решение Комиссии Таможенного союза от 15.07.2011 N 710 (ред. от 30.03.2023) &quot;О принятии технических регламентов Таможенного союза &quot;О безопасности железнодорожного подвижного состава&quot;, &quot;О безопасности высокоскоростного железнодорожного транспорта&quot; и &quot;О безопасн">
        <w:r>
          <w:rPr>
            <w:color w:val="0000FF"/>
          </w:rPr>
          <w:t>VIII</w:t>
        </w:r>
      </w:hyperlink>
      <w:r>
        <w:t xml:space="preserve"> технического регламента Таможенного союза "О безопасности инфраструктуры железнодорожного т</w:t>
      </w:r>
      <w:r>
        <w:t>ранспорта" (ТР ТС 003/2011);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23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д) соблюдение обязательных требований по обеспечению доступности для инвалидов объектов социальной, инженерной и транспортной инфр</w:t>
      </w:r>
      <w:r>
        <w:t>аструктур и предоставляемых услуг.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4. От имени контролирующего органа государственный контроль (надзор) вправе осуществлять следующие должностные лица (далее - должностные лица):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а) руководитель (заместитель руководителя);</w:t>
      </w:r>
    </w:p>
    <w:p w:rsidR="00E22F2D" w:rsidRDefault="002F44B3">
      <w:pPr>
        <w:pStyle w:val="ConsPlusNormal0"/>
        <w:spacing w:before="240"/>
        <w:ind w:firstLine="540"/>
        <w:jc w:val="both"/>
      </w:pPr>
      <w:proofErr w:type="gramStart"/>
      <w:r>
        <w:lastRenderedPageBreak/>
        <w:t>б) начальник управления, заместит</w:t>
      </w:r>
      <w:r>
        <w:t>ель начальника управления, начальник отдела, заместитель начальника отдела, главный государственный инспектор, старший государственный инспектор, государственный инспектор, начальник территориального управления, заместитель начальника территориального упра</w:t>
      </w:r>
      <w:r>
        <w:t>вления, начальник отдела территориального управления, заместитель начальника отдела территориального управления, главный государственный инспектор территориального управления, старший государственный инспектор территориального управления, государственный и</w:t>
      </w:r>
      <w:r>
        <w:t>нспектор территориального управления, в должностные обязанности которых в соответствии с должностным регламентом входит осуществление</w:t>
      </w:r>
      <w:proofErr w:type="gramEnd"/>
      <w:r>
        <w:t xml:space="preserve"> полномочий по государственному контролю (надзору), в том числе проведение профилактических мероприятий и контрольных (надз</w:t>
      </w:r>
      <w:r>
        <w:t>орных) мероприятий (далее - инспектор).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4(1). Должностными лицами, уполномоченными на принятие решений о проведении контрольных (надзорных) мероприятий, являются: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а) руководитель (заместитель руководителя) контролирующего органа;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б) руководитель (заместитель руководителя) территориального органа контролирующего органа (начальник (заместитель начальника) территориального управления).</w:t>
      </w:r>
    </w:p>
    <w:p w:rsidR="00E22F2D" w:rsidRDefault="002F44B3">
      <w:pPr>
        <w:pStyle w:val="ConsPlusNormal0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24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21.12.2023 N </w:t>
      </w:r>
      <w:r>
        <w:t>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 xml:space="preserve">Инспекторы при проведении контрольного (надзорного) мероприятия в пределах своих полномочий и в объеме проводимых контрольных (надзорных) действий несут обязанности и имеют права, установленные </w:t>
      </w:r>
      <w:hyperlink r:id="rId2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29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(далее - Федеральный закон о государственном контроле (надзоре), а также имеют право пользоваться техническими ср</w:t>
      </w:r>
      <w:r>
        <w:t>едствами, в том числе осуществлять фотосъемку, аудио- и видеозапись объектов</w:t>
      </w:r>
      <w:proofErr w:type="gramEnd"/>
      <w:r>
        <w:t xml:space="preserve"> и документов (кроме объектов и документов, отнесенных к государственной и иной охраняемой законом тайне).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1"/>
      </w:pPr>
      <w:r>
        <w:t>II. Объекты контроля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bookmarkStart w:id="2" w:name="P72"/>
      <w:bookmarkEnd w:id="2"/>
      <w:r>
        <w:t>6. Объектами государственного контроля (надзора) (</w:t>
      </w:r>
      <w:r>
        <w:t>далее - объект контроля) являются: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а) в рамках </w:t>
      </w:r>
      <w:hyperlink r:id="rId2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 1 части 1 статьи 16</w:t>
        </w:r>
      </w:hyperlink>
      <w:r>
        <w:t xml:space="preserve"> Федерального закона о государственном контроле (надзоре):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организаций-лицензиатов, осуществ</w:t>
      </w:r>
      <w:r>
        <w:t>ляющих деятельность по перевозкам железнодорожным транспортом пассажиров, деятельность по перевозкам железнодорожным транспортом опасных грузов, погрузочно-разгрузочную деятельность применительно к опасным грузам;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деятельность организаций и индивидуальных </w:t>
      </w:r>
      <w:r>
        <w:t>предпринимателей, осуществляющих: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деятельность по перевозке грузов, багажа, </w:t>
      </w:r>
      <w:proofErr w:type="spellStart"/>
      <w:r>
        <w:t>грузобагажа</w:t>
      </w:r>
      <w:proofErr w:type="spellEnd"/>
      <w:r>
        <w:t xml:space="preserve"> железнодорожным транспортом;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погрузочно-разгрузочную деятельность на железнодорожном транспорте;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эксплуатации инфраструктуры железнодорожного транспорта</w:t>
      </w:r>
      <w:r>
        <w:t xml:space="preserve"> общего пользования и составных частей подсистем и элементов составных частей подсистем </w:t>
      </w:r>
      <w:r>
        <w:lastRenderedPageBreak/>
        <w:t>инфраструктуры железнодорожного транспорта;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обслуживанию и ремонту инфраструктуры железнодорожного транспорта общего пользования и составных частей подс</w:t>
      </w:r>
      <w:r>
        <w:t>истем и элементов составных частей подсистем инфраструктуры железнодорожного транспорта;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путей необщ</w:t>
      </w:r>
      <w:r>
        <w:t>его пользования;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эксплуатации железнодорожного</w:t>
      </w:r>
      <w:r>
        <w:t xml:space="preserve"> подвижного состава и его составных частей;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обслуживанию и ремонту железнодорожного подвижного состава и его составных частей;</w:t>
      </w:r>
    </w:p>
    <w:p w:rsidR="00E22F2D" w:rsidRDefault="002F44B3">
      <w:pPr>
        <w:pStyle w:val="ConsPlusNormal0"/>
        <w:spacing w:before="240"/>
        <w:ind w:firstLine="540"/>
        <w:jc w:val="both"/>
      </w:pPr>
      <w:proofErr w:type="gramStart"/>
      <w:r>
        <w:t xml:space="preserve">б) в рамках </w:t>
      </w:r>
      <w:hyperlink r:id="rId2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 2 части 1 статьи</w:t>
        </w:r>
        <w:r>
          <w:rPr>
            <w:color w:val="0000FF"/>
          </w:rPr>
          <w:t xml:space="preserve"> 16</w:t>
        </w:r>
      </w:hyperlink>
      <w:r>
        <w:t xml:space="preserve"> Федерального закона о государственном контроле (надзоре) - выполненные (оказанные) вспомогательные работы (услуги) при перевозке железнодорожным транспортом (операции по погрузке, выгрузке грузов в местах общего пользования, взвешиванию грузов, обслужи</w:t>
      </w:r>
      <w:r>
        <w:t xml:space="preserve">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</w:t>
      </w:r>
      <w:proofErr w:type="spellStart"/>
      <w:r>
        <w:t>грузобагажа</w:t>
      </w:r>
      <w:proofErr w:type="spellEnd"/>
      <w:r>
        <w:t xml:space="preserve"> железнодорожным</w:t>
      </w:r>
      <w:proofErr w:type="gramEnd"/>
      <w:r>
        <w:t xml:space="preserve"> транспортом);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в) в рамках </w:t>
      </w:r>
      <w:hyperlink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 3 части 1 статьи 16</w:t>
        </w:r>
      </w:hyperlink>
      <w:r>
        <w:t xml:space="preserve"> Федерального закона о государственном контроле (надзоре):</w:t>
      </w:r>
    </w:p>
    <w:p w:rsidR="00E22F2D" w:rsidRDefault="002F44B3">
      <w:pPr>
        <w:pStyle w:val="ConsPlusNormal0"/>
        <w:spacing w:before="240"/>
        <w:ind w:firstLine="540"/>
        <w:jc w:val="both"/>
      </w:pPr>
      <w:proofErr w:type="gramStart"/>
      <w:r>
        <w:t>подсистемы инфраструктуры железнодорожного транспорта (в том числе железнодорожные пути, железн</w:t>
      </w:r>
      <w:r>
        <w:t>одорожные устройства электроснабжения, железнодорожные системы автоматики и телемеханики, железнодорожная электросвязь, а также станционные здания, сооружения и устройства), составные части подсистем инфраструктуры железнодорожного транспорта и элементы со</w:t>
      </w:r>
      <w:r>
        <w:t>ставных частей подсистем инфраструктуры железнодорожного транспорта, железнодорожный подвижной состав, высокоскоростной железнодорожный подвижной состав, их составные части, выпускаемые в обращение на таможенной территории Евразийского экономического союза</w:t>
      </w:r>
      <w:r>
        <w:t xml:space="preserve"> в</w:t>
      </w:r>
      <w:proofErr w:type="gramEnd"/>
      <w:r>
        <w:t xml:space="preserve"> соответствии с требованиями технических регламентов Таможенного союза "О безопасности железнодорожного подвижного состава" </w:t>
      </w:r>
      <w:hyperlink r:id="rId29" w:tooltip="Решение Комиссии Таможенного союза от 15.07.2011 N 710 (ред. от 30.03.2023) &quot;О принятии технических регламентов Таможенного союза &quot;О безопасности железнодорожного подвижного состава&quot;, &quot;О безопасности высокоскоростного железнодорожного транспорта&quot; и &quot;О безопасн">
        <w:r>
          <w:rPr>
            <w:color w:val="0000FF"/>
          </w:rPr>
          <w:t>(</w:t>
        </w:r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001/2011)</w:t>
        </w:r>
      </w:hyperlink>
      <w:r>
        <w:t xml:space="preserve">, "О безопасности высокоскоростного железнодорожного транспорта" </w:t>
      </w:r>
      <w:hyperlink r:id="rId30" w:tooltip="Решение Комиссии Таможенного союза от 15.07.2011 N 710 (ред. от 30.03.2023) &quot;О принятии технических регламентов Таможенного союза &quot;О безопасности железнодорожного подвижного состава&quot;, &quot;О безопасности высокоскоростного железнодорожного транспорта&quot; и &quot;О безопасн">
        <w:r>
          <w:rPr>
            <w:color w:val="0000FF"/>
          </w:rPr>
          <w:t>(ТР ТС 002/2011)</w:t>
        </w:r>
      </w:hyperlink>
      <w:r>
        <w:t xml:space="preserve"> и "О безопасности инфраструк</w:t>
      </w:r>
      <w:r>
        <w:t xml:space="preserve">туры железнодорожного транспорта" </w:t>
      </w:r>
      <w:hyperlink r:id="rId31" w:tooltip="Решение Комиссии Таможенного союза от 15.07.2011 N 710 (ред. от 30.03.2023) &quot;О принятии технических регламентов Таможенного союза &quot;О безопасности железнодорожного подвижного состава&quot;, &quot;О безопасности высокоскоростного железнодорожного транспорта&quot; и &quot;О безопасн">
        <w:r>
          <w:rPr>
            <w:color w:val="0000FF"/>
          </w:rPr>
          <w:t>(ТР ТС 003/2011)</w:t>
        </w:r>
      </w:hyperlink>
      <w:r>
        <w:t>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инфраструктура железнодорожного транспорта общего пользования и ее составн</w:t>
      </w:r>
      <w:r>
        <w:t>ые части подсистем и элементов составных частей подсистем, железнодорожный подвижной состав и его составные части, железнодорожные пути необщего пользования и его составные части подсистем и элементов составных частей подсистем.</w:t>
      </w:r>
    </w:p>
    <w:p w:rsidR="00E22F2D" w:rsidRDefault="002F44B3">
      <w:pPr>
        <w:pStyle w:val="ConsPlusNormal0"/>
        <w:jc w:val="both"/>
      </w:pPr>
      <w:r>
        <w:t xml:space="preserve">(п. 6 в ред. </w:t>
      </w:r>
      <w:hyperlink r:id="rId32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lastRenderedPageBreak/>
        <w:t>7. Учет объектов контроля осуществляется по категориям риска.</w:t>
      </w:r>
    </w:p>
    <w:p w:rsidR="00E22F2D" w:rsidRDefault="002F44B3">
      <w:pPr>
        <w:pStyle w:val="ConsPlusNormal0"/>
        <w:spacing w:before="240"/>
        <w:ind w:firstLine="540"/>
        <w:jc w:val="both"/>
      </w:pPr>
      <w:proofErr w:type="gramStart"/>
      <w:r>
        <w:t>Учет объектов контроля осуществляется контролирующим органом в соответствующих ведомственных информационно-аналитически</w:t>
      </w:r>
      <w:r>
        <w:t>х системах, обеспечивающих деятельность контролирующего органа при планировании и осуществлении мероприятий государственного контроля (надзора), на основе данных учета, хранения, сбора и обработки данных в рамках единой информационно-аналитической системы,</w:t>
      </w:r>
      <w:r>
        <w:t xml:space="preserve"> на основании информации, представляемой им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  <w:proofErr w:type="gramEnd"/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1"/>
      </w:pPr>
      <w:r>
        <w:t>III. Управление рисками причинения вреда</w:t>
      </w:r>
    </w:p>
    <w:p w:rsidR="00E22F2D" w:rsidRDefault="002F44B3">
      <w:pPr>
        <w:pStyle w:val="ConsPlusTitle0"/>
        <w:jc w:val="center"/>
      </w:pPr>
      <w:r>
        <w:t>(ущерба) охраняемым законом ценностям при осуществлении</w:t>
      </w:r>
    </w:p>
    <w:p w:rsidR="00E22F2D" w:rsidRDefault="002F44B3">
      <w:pPr>
        <w:pStyle w:val="ConsPlusTitle0"/>
        <w:jc w:val="center"/>
      </w:pPr>
      <w:r>
        <w:t>государственного контроля (надзора)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>8. При осуществлении государственного контроля (надзора) применяется система оценки и управления рисками причинения вреда (ущерба).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1"/>
      </w:pPr>
      <w:r>
        <w:t>IV. Критерии отнесения объекто</w:t>
      </w:r>
      <w:r>
        <w:t>в государственного</w:t>
      </w:r>
    </w:p>
    <w:p w:rsidR="00E22F2D" w:rsidRDefault="002F44B3">
      <w:pPr>
        <w:pStyle w:val="ConsPlusTitle0"/>
        <w:jc w:val="center"/>
      </w:pPr>
      <w:r>
        <w:t>контроля (надзора) к категориям риска причинения</w:t>
      </w:r>
    </w:p>
    <w:p w:rsidR="00E22F2D" w:rsidRDefault="002F44B3">
      <w:pPr>
        <w:pStyle w:val="ConsPlusTitle0"/>
        <w:jc w:val="center"/>
      </w:pPr>
      <w:r>
        <w:t>вреда (ущерба)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>9. Контролирующий орган при осуществлении государственного контроля (надзора) относит объекты контроля к одной из следующих категорий риска причинения вреда (ущерба) (далее</w:t>
      </w:r>
      <w:r>
        <w:t xml:space="preserve"> - категории риска):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чрезвычайно высокий риск;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высокий риск;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значительный риск;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средний риск;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умеренный риск;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низкий риск.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С учетом тяжести потенциальных негативных последствий возможного несоблюдения лицами, указанными в </w:t>
      </w:r>
      <w:hyperlink w:anchor="P72" w:tooltip="6. Объектами государственного контроля (надзора) (далее - объект контроля) являются:">
        <w:r>
          <w:rPr>
            <w:color w:val="0000FF"/>
          </w:rPr>
          <w:t>пункте 6</w:t>
        </w:r>
      </w:hyperlink>
      <w:r>
        <w:t xml:space="preserve"> настоящего Положения (далее - контролируемые лица), обязательных требований, объекты контроля подлежат отнесению к категории тяжести</w:t>
      </w:r>
      <w:proofErr w:type="gramStart"/>
      <w:r>
        <w:t xml:space="preserve"> А</w:t>
      </w:r>
      <w:proofErr w:type="gramEnd"/>
      <w:r>
        <w:t>, Б, В, Г, Д (далее - категории</w:t>
      </w:r>
      <w:r>
        <w:t xml:space="preserve"> тяжести):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к категории тяжести "А" относятся следующие объекты контроля: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перевозке пассажиров железнодорожным транспортом;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перевозке опасных грузов железнодорожным транспортом;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lastRenderedPageBreak/>
        <w:t>деятельность по эксплуатации инфраструктуры жел</w:t>
      </w:r>
      <w:r>
        <w:t>езнодорожного транспорта общего пользования;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к категории тяжести "Б" относятся следующие объекты контроля: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деятельность по перевозке грузов, багажа, </w:t>
      </w:r>
      <w:proofErr w:type="spellStart"/>
      <w:r>
        <w:t>грузобагажа</w:t>
      </w:r>
      <w:proofErr w:type="spellEnd"/>
      <w:r>
        <w:t xml:space="preserve"> железнодорожным транспортом;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эксплуатации железнодорожного подвижного состава;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погрузочно-разгрузочная деятельность применительно к опасным грузам на железнодорожном транспорте;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к категории тяжести "В" относятся следующие объекты контроля: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погрузочно-разгрузочная деятельность на железнодорожном транспорте;</w:t>
      </w:r>
    </w:p>
    <w:p w:rsidR="00E22F2D" w:rsidRDefault="002F44B3">
      <w:pPr>
        <w:pStyle w:val="ConsPlusNormal0"/>
        <w:jc w:val="both"/>
      </w:pPr>
      <w:r>
        <w:t xml:space="preserve">(абзац введен </w:t>
      </w:r>
      <w:hyperlink r:id="rId33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обслуживанию и ремонту железнодорожного подвижного состава и его составных частей;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обслуживанию и ремонту инфраструктуры железнодорожног</w:t>
      </w:r>
      <w:r>
        <w:t>о транспорта общего пользования и ее составных частей, подсистем и элементов составных частей подсистем;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обслуживанию и ремонту железнодорожных путей необщего пользования и их составных частей, подсистем и элементов составных частей подсист</w:t>
      </w:r>
      <w:r>
        <w:t>ем;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эксплуатации железнодорожных путей необщего пользования;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к категории тяжести "Г" относятся следующие объекты контроля: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инфраструктура железнодорожного транспорта и ее составные части подсистем и элементов составных частей подсистем;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жел</w:t>
      </w:r>
      <w:r>
        <w:t>езнодорожный подвижной состав и его составные части;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к категории тяжести "Д" относятся следующие объекты контроля: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вспомогательные работы (услуги) при перевозке железнодорожным транспортом (операции по погрузке, выгрузке грузов в местах общего пользования,</w:t>
      </w:r>
      <w:r>
        <w:t xml:space="preserve">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</w:t>
      </w:r>
      <w:proofErr w:type="spellStart"/>
      <w:r>
        <w:t>грузобагажа</w:t>
      </w:r>
      <w:proofErr w:type="spellEnd"/>
      <w:r>
        <w:t xml:space="preserve"> железнодорожным транспортом).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При наличии критериев, по</w:t>
      </w:r>
      <w:r>
        <w:t>зволяющих отнести объект контроля к различным категориям тяжести, подлежит применению критерий, позволяющий отнести объект контроля к более высокой категории тяжести.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С учетом оценки вероятности несоблюдения контролируемыми лицами обязательных требований з</w:t>
      </w:r>
      <w:r>
        <w:t xml:space="preserve">а последние 5 лет объект контроля подлежит отнесению к категории вероятности 1, 2, </w:t>
      </w:r>
      <w:r>
        <w:lastRenderedPageBreak/>
        <w:t>3, 4, 5, 6 (далее - категории вероятности):</w:t>
      </w:r>
    </w:p>
    <w:p w:rsidR="00E22F2D" w:rsidRDefault="002F44B3">
      <w:pPr>
        <w:pStyle w:val="ConsPlusNormal0"/>
        <w:spacing w:before="240"/>
        <w:ind w:firstLine="540"/>
        <w:jc w:val="both"/>
      </w:pPr>
      <w:proofErr w:type="gramStart"/>
      <w:r>
        <w:t>к категории вероятности 1 относятся объекты контроля контролируемых лиц, допустивших в течение последних 5 лет в результате своих</w:t>
      </w:r>
      <w:r>
        <w:t xml:space="preserve"> виновных действий (бездействия) гибель людей, вне зависимости от наличия в контролирующем органе информации о ранее допущенных нарушениях обязательных требований, причинение тяжкого вреда здоровью людей при наличии в контролирующем органе информации о ран</w:t>
      </w:r>
      <w:r>
        <w:t>ее допущенных нарушениях обязательных требований, поступление в контролирующий орган обращений органов</w:t>
      </w:r>
      <w:proofErr w:type="gramEnd"/>
      <w:r>
        <w:t xml:space="preserve"> государственной власти в сфере социальной защиты населения о нарушении прав и законных интересов инвалидов;</w:t>
      </w:r>
    </w:p>
    <w:p w:rsidR="00E22F2D" w:rsidRDefault="002F44B3">
      <w:pPr>
        <w:pStyle w:val="ConsPlusNormal0"/>
        <w:spacing w:before="240"/>
        <w:ind w:firstLine="540"/>
        <w:jc w:val="both"/>
      </w:pPr>
      <w:proofErr w:type="gramStart"/>
      <w:r>
        <w:t>к категории вероятности 2 относятся объекты к</w:t>
      </w:r>
      <w:r>
        <w:t>онтроля контролируемых лиц, допустивших в течение последних 5 лет в результате своих виновных действий (бездействия) причинение тяжкого вреда здоровью людей, при отсутствии в контролирующем органе информации о ранее допущенных нарушениях обязательных требо</w:t>
      </w:r>
      <w:r>
        <w:t>ваний, повреждение объектов инфраструктуры железнодорожного транспорта общего пользования при наличии в контролирующем органе информации о ранее допущенных нарушениях обязательных требований, поступление в контролирующий</w:t>
      </w:r>
      <w:proofErr w:type="gramEnd"/>
      <w:r>
        <w:t xml:space="preserve"> орган обращений от общественных объ</w:t>
      </w:r>
      <w:r>
        <w:t>единений инвалидов о нарушении прав и законных интересов инвалидов;</w:t>
      </w:r>
    </w:p>
    <w:p w:rsidR="00E22F2D" w:rsidRDefault="002F44B3">
      <w:pPr>
        <w:pStyle w:val="ConsPlusNormal0"/>
        <w:spacing w:before="240"/>
        <w:ind w:firstLine="540"/>
        <w:jc w:val="both"/>
      </w:pPr>
      <w:proofErr w:type="gramStart"/>
      <w:r>
        <w:t>к категории вероятности 3 относятся объекты контроля контролируемых лиц, допустивших в течение последних 5 лет в результате своих виновных действий (бездействия) повреждение объектов инфра</w:t>
      </w:r>
      <w:r>
        <w:t>структуры железнодорожного транспорта общего пользования, при отсутствии в контролирующем органе информации о ранее допущенных нарушениях обязательных требований, повреждение железнодорожного подвижного состава при наличии в контролирующем органе информаци</w:t>
      </w:r>
      <w:r>
        <w:t>и о ранее допущенных нарушениях обязательных требований, неоднократное поступление в контролирующий</w:t>
      </w:r>
      <w:proofErr w:type="gramEnd"/>
      <w:r>
        <w:t xml:space="preserve"> орган обращений инвалидов о нарушении их прав и законных интересов на одном и том же объекте контроля;</w:t>
      </w:r>
    </w:p>
    <w:p w:rsidR="00E22F2D" w:rsidRDefault="002F44B3">
      <w:pPr>
        <w:pStyle w:val="ConsPlusNormal0"/>
        <w:spacing w:before="240"/>
        <w:ind w:firstLine="540"/>
        <w:jc w:val="both"/>
      </w:pPr>
      <w:proofErr w:type="gramStart"/>
      <w:r>
        <w:t xml:space="preserve">к категории вероятности 4 относятся объекты контроля </w:t>
      </w:r>
      <w:r>
        <w:t>контролируемых лиц, допустивших в течение последних 5 лет в результате своих виновных действий (бездействия) повреждение железнодорожного подвижного состава, при отсутствии в контролирующем органе информации о ранее допущенных нарушениях обязательных требо</w:t>
      </w:r>
      <w:r>
        <w:t>ваний, повреждение железнодорожных путей необщего пользования при наличии в контролирующем органе информации о ранее допущенных нарушениях обязательных требований;</w:t>
      </w:r>
      <w:proofErr w:type="gramEnd"/>
    </w:p>
    <w:p w:rsidR="00E22F2D" w:rsidRDefault="002F44B3">
      <w:pPr>
        <w:pStyle w:val="ConsPlusNormal0"/>
        <w:spacing w:before="240"/>
        <w:ind w:firstLine="540"/>
        <w:jc w:val="both"/>
      </w:pPr>
      <w:proofErr w:type="gramStart"/>
      <w:r>
        <w:t>к категории вероятности 5 относятся объекты контроля контролируемых лиц, допустивших в течен</w:t>
      </w:r>
      <w:r>
        <w:t>ие последних 5 лет в результате своих виновных действий (бездействия) повреждение железнодорожных путей необщего пользования, при отсутствии в контролирующем органе информации о ранее допущенных нарушениях обязательных требований, либо объекты контроля кон</w:t>
      </w:r>
      <w:r>
        <w:t>тролируемых лиц, в отношении которых в контролирующем органе отсутствует информация о допущенных в течение последних 5 лет нарушениях обязательных</w:t>
      </w:r>
      <w:proofErr w:type="gramEnd"/>
      <w:r>
        <w:t xml:space="preserve"> требований;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34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к категории вероятности 6 относятся объекты контроля контролируемых лиц, принявших декларацию о соблюдении обязательных требований и соответствующих критерию (критериям) добросовестности.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</w:t>
      </w:r>
      <w:r>
        <w:t>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lastRenderedPageBreak/>
        <w:t>При наличии критериев, позволяющих отнести объект контроля к различным категориям вероятности наступления потенциальных негативных последствий, в случае принятия контролируемым лицом декларации о соблюдении обязательных требова</w:t>
      </w:r>
      <w:r>
        <w:t>ний и соответствия объекта контроля критерию (критериям) добросовестности объект контроля относят к категории вероятности 6.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36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При наличии критериев, позволяющих</w:t>
      </w:r>
      <w:r>
        <w:t xml:space="preserve"> отнести объект контроля к различным категориям вероятности наступления потенциальных негативных последствий, и при отсутствии декларации о соблюдении обязательных требований и несоответствии объекта контроля критерию (критериям) добросовестности объект ко</w:t>
      </w:r>
      <w:r>
        <w:t>нтроля относят к более высокой категории вероятности.</w:t>
      </w:r>
    </w:p>
    <w:p w:rsidR="00E22F2D" w:rsidRDefault="002F44B3">
      <w:pPr>
        <w:pStyle w:val="ConsPlusNormal0"/>
        <w:jc w:val="both"/>
      </w:pPr>
      <w:r>
        <w:t xml:space="preserve">(абзац введен </w:t>
      </w:r>
      <w:hyperlink r:id="rId37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Категория риска определяется на основании сочетания тяжести потенциальных негативных последствий возможного несоблюдения контролируемыми лицами обязательных требований и категорий риска причинения вреда (ущерба), указанных в матрице категорий риска причине</w:t>
      </w:r>
      <w:r>
        <w:t xml:space="preserve">ния вреда (ущерба), которая приведена в </w:t>
      </w:r>
      <w:hyperlink w:anchor="P435" w:tooltip="МАТРИЦА КАТЕГОРИЙ РИСКА ПРИЧИНЕНИЯ ВРЕДА (УЩЕРБА)">
        <w:r>
          <w:rPr>
            <w:color w:val="0000FF"/>
          </w:rPr>
          <w:t>приложении</w:t>
        </w:r>
      </w:hyperlink>
      <w:r>
        <w:t>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1"/>
      </w:pPr>
      <w:r>
        <w:t>V. Профилактика рисков причинения вреда (ущерба)</w:t>
      </w:r>
    </w:p>
    <w:p w:rsidR="00E22F2D" w:rsidRDefault="002F44B3">
      <w:pPr>
        <w:pStyle w:val="ConsPlusTitle0"/>
        <w:jc w:val="center"/>
      </w:pPr>
      <w:r>
        <w:t>охраняемым законом ценностям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>10. При осуществлении государственного кон</w:t>
      </w:r>
      <w:r>
        <w:t>троля (надзора) проводятся следующие виды профилактических мероприятий: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информирование;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обобщение правоприменительной практики;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объявление предостережения;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консультирование;</w:t>
      </w:r>
    </w:p>
    <w:p w:rsidR="00E22F2D" w:rsidRDefault="002F44B3">
      <w:pPr>
        <w:pStyle w:val="ConsPlusNormal0"/>
        <w:spacing w:before="240"/>
        <w:ind w:firstLine="540"/>
        <w:jc w:val="both"/>
      </w:pPr>
      <w:proofErr w:type="spellStart"/>
      <w:r>
        <w:t>самообследование</w:t>
      </w:r>
      <w:proofErr w:type="spellEnd"/>
      <w:r>
        <w:t>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профилактический визит;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меры стимулирования добросовестности.</w:t>
      </w:r>
    </w:p>
    <w:p w:rsidR="00E22F2D" w:rsidRDefault="002F44B3">
      <w:pPr>
        <w:pStyle w:val="ConsPlusNormal0"/>
        <w:jc w:val="both"/>
      </w:pPr>
      <w:r>
        <w:t xml:space="preserve">(абзац введен </w:t>
      </w:r>
      <w:hyperlink r:id="rId38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21.12.2023 N 2244)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2"/>
      </w:pPr>
      <w:r>
        <w:t>1. Обобщение правоприменительной практики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>11. Доклад о правоприменительной практике готовится один раз в год.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12. Доклад о правоприменительной практик</w:t>
      </w:r>
      <w:r>
        <w:t>е утверждается приказом (распоряжением) руководителя контролирующего органа не позднее 31 марта каждого года и размещается на официальном сайте контролирующего органа в информационно-телекоммуникационной сети "Интернет" (далее - сеть "Интернет") в 3-дневны</w:t>
      </w:r>
      <w:r>
        <w:t>й срок со дня его утверждения.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2"/>
      </w:pPr>
      <w:r>
        <w:lastRenderedPageBreak/>
        <w:t>2. Объявление предостережения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 xml:space="preserve">13.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3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о государственном контроле (надзоре).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</w:t>
      </w:r>
      <w:r>
        <w:t>ющий орган возражение в отношении указанного предостережения.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20 рабочих дней со дня регистрации такого возражения.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Возражение на предостережение, объявленное территориа</w:t>
      </w:r>
      <w:r>
        <w:t>льным органом контролирующего органа, подается руководителю (заместителю руководителя) этого территориального органа и рассматривается им.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Возражение на предостережение, объявленное контролирующим органом, подается руководителю (заместителю руководителя) к</w:t>
      </w:r>
      <w:r>
        <w:t>онтролирующего органа и рассматривается им.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2"/>
      </w:pPr>
      <w:r>
        <w:t>3. Консультирование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>14. Должностные лица контролирующего органа предоставляют контролируемым лицам консультирование по следующим вопросам (в том числе в письменном виде):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организация и осуществление государстве</w:t>
      </w:r>
      <w:r>
        <w:t>нного контроля (надзора);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порядок осуществления контрольных (надзорных) мероприятий;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соблюдение обязательных требований;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вопросы, содержащиеся в </w:t>
      </w:r>
      <w:hyperlink r:id="rId40" w:tooltip="Приказ Ространснадзора от 23.12.2022 N ВБ-591фс &quot;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">
        <w:r>
          <w:rPr>
            <w:color w:val="0000FF"/>
          </w:rPr>
          <w:t>проверочных листах</w:t>
        </w:r>
      </w:hyperlink>
      <w:r>
        <w:t>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проведенные контрольные (надзорные) мероприятия и проводимые профилактические мероприятия.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Консультирование предоставляется: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при личном обращении - посредством телефонной связи, электронной почты, видео-конференц-связи;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при получении письменного запроса - посредством ответа в письменной форме в порядке, установленном законодательством Российской Федерации о рассмотрении обращений граждан;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 ходе проведения профилактического мероприятия, контрольного (надзорного) мероприят</w:t>
      </w:r>
      <w:r>
        <w:t>ия.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Время консультирования при личном обращении устанавливается руководителем </w:t>
      </w:r>
      <w:r>
        <w:lastRenderedPageBreak/>
        <w:t>территориального органа контролирующего органа, руководителем (заместителем руководителя) контролирующего органа.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Время для консультирования при личном обращении должно составлят</w:t>
      </w:r>
      <w:r>
        <w:t xml:space="preserve">ь не менее 4 часов в рабочую неделю. </w:t>
      </w:r>
      <w:proofErr w:type="gramStart"/>
      <w:r>
        <w:t>Информация о времени консультирования при личном обращении размещается в зданиях контролирующего органа (его территориального органа) в доступном для ознакомления граждан месте, на официальном сайте контролирующего орга</w:t>
      </w:r>
      <w:r>
        <w:t>на в сети "Интернет".</w:t>
      </w:r>
      <w:proofErr w:type="gramEnd"/>
    </w:p>
    <w:p w:rsidR="00E22F2D" w:rsidRDefault="002F44B3">
      <w:pPr>
        <w:pStyle w:val="ConsPlusNormal0"/>
        <w:spacing w:before="240"/>
        <w:ind w:firstLine="540"/>
        <w:jc w:val="both"/>
      </w:pPr>
      <w:r>
        <w:t>Консультирование в письменном виде осуществляется в случаях: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если при личном обращении предоставить ответ на поставле</w:t>
      </w:r>
      <w:r>
        <w:t>нные вопросы не представляется возможным;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ответ на поставленные вопросы требует получения дополнительных сведений и информации.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В случае консультирования должностными лицами контролирующего органа контролируемых лиц в письменном виде ответ контролируемому </w:t>
      </w:r>
      <w:r>
        <w:t>лицу направляется в течение 20 дней со дня регистрации его обращения.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сайте контролирующего орг</w:t>
      </w:r>
      <w:r>
        <w:t>ана в сети "Интернет" письменного разъяснения, подписанного уполномоченным должностным лицом контролирующего органа.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2"/>
      </w:pPr>
      <w:r>
        <w:t xml:space="preserve">4. </w:t>
      </w:r>
      <w:proofErr w:type="spellStart"/>
      <w:r>
        <w:t>Самообследование</w:t>
      </w:r>
      <w:proofErr w:type="spellEnd"/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 xml:space="preserve">15. Контролируемые лица, получившие высокую оценку соблюдения ими обязательных требований, по итогам </w:t>
      </w:r>
      <w:proofErr w:type="spellStart"/>
      <w:r>
        <w:t>самообследования</w:t>
      </w:r>
      <w:proofErr w:type="spellEnd"/>
      <w:r>
        <w:t xml:space="preserve"> вправе принять декларацию соблюдения обязательных требований.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Декларация соблюдения обязательных требований направляется контролируемым ли</w:t>
      </w:r>
      <w:r>
        <w:t>цом в контролирующий орган, который осуществляет ее регистрацию и размещает на своем официальном сайте в сети "Интернет".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Срок действия декларации соблюдения обязательных требований составляет 3 года </w:t>
      </w:r>
      <w:proofErr w:type="gramStart"/>
      <w:r>
        <w:t>с даты регистрации</w:t>
      </w:r>
      <w:proofErr w:type="gramEnd"/>
      <w:r>
        <w:t xml:space="preserve"> указанной декларации контролирующим о</w:t>
      </w:r>
      <w:r>
        <w:t>рганом.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В случае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>
        <w:t>самообследовании</w:t>
      </w:r>
      <w:proofErr w:type="spellEnd"/>
      <w:r>
        <w:t>, декларация соблюдения обязательных тре</w:t>
      </w:r>
      <w:r>
        <w:t>бований аннулируется решением, принимаемым по результатам контрольного (надзорного) мероприятия.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контроли</w:t>
      </w:r>
      <w:r>
        <w:t xml:space="preserve">рующий </w:t>
      </w:r>
      <w:r>
        <w:lastRenderedPageBreak/>
        <w:t>орган в течение одного месяца со дня изменения содержащихся в ней сведений.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не ранее одного го</w:t>
      </w:r>
      <w:r>
        <w:t xml:space="preserve">да </w:t>
      </w:r>
      <w:proofErr w:type="gramStart"/>
      <w:r>
        <w:t>с даты</w:t>
      </w:r>
      <w:proofErr w:type="gramEnd"/>
      <w:r>
        <w:t xml:space="preserve"> ее аннулирования.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2"/>
      </w:pPr>
      <w:r>
        <w:t>5. Профилактический визит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>16. Профилактический визит в отношении контролируемых лиц проводится инспектором в форме профилактической беседы по месту осуществления деятельности контролируемого лица либо с использованием видео-конференц-связи.</w:t>
      </w:r>
    </w:p>
    <w:p w:rsidR="00E22F2D" w:rsidRDefault="002F44B3">
      <w:pPr>
        <w:pStyle w:val="ConsPlusNormal0"/>
        <w:spacing w:before="240"/>
        <w:ind w:firstLine="540"/>
        <w:jc w:val="both"/>
      </w:pPr>
      <w:proofErr w:type="gramStart"/>
      <w:r>
        <w:t>В ходе профилактического визита контролир</w:t>
      </w:r>
      <w:r>
        <w:t>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об основаниях и о рекомендуемых способах снижения категории риска, а также о видах, содержан</w:t>
      </w:r>
      <w:r>
        <w:t>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E22F2D" w:rsidRDefault="002F44B3">
      <w:pPr>
        <w:pStyle w:val="ConsPlusNormal0"/>
        <w:spacing w:before="240"/>
        <w:ind w:firstLine="540"/>
        <w:jc w:val="both"/>
      </w:pPr>
      <w:r>
        <w:t>Обязательные профилактические визиты проводятся в отношении: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контролируемых лиц, приступающих к ос</w:t>
      </w:r>
      <w:r>
        <w:t>уществлению следующих видов деятельности: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деятельность по перевозке пассажиров, грузов, багажа и </w:t>
      </w:r>
      <w:proofErr w:type="spellStart"/>
      <w:r>
        <w:t>грузобагажа</w:t>
      </w:r>
      <w:proofErr w:type="spellEnd"/>
      <w:r>
        <w:t xml:space="preserve"> железнодорожным транспортом;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перевозке опасных грузов железнодорожным транспортом;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эксплуатации инфраструктуры желе</w:t>
      </w:r>
      <w:r>
        <w:t>знодорожного транспорта общего пользования;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эксплуатации железнодорожного подвижного состава;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обслуживанию и ремонту железнодорожного подвижного состава и его составных частей;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обслуживанию и ремонту инфрастр</w:t>
      </w:r>
      <w:r>
        <w:t>уктуры железнодорожного транспорта общего пользования и ее составных частей подсистем и элементов составных частей подсистем;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эксплуатации железнодорожных путей необщего пользования;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деятельность по обслуживанию и ремонту железнодорожных пу</w:t>
      </w:r>
      <w:r>
        <w:t>тей необщего пользования и его составных частей подсистем и элементов составных частей подсистем;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погрузочно-разгрузочная деятельность применительно к опасным грузам на железнодорожном транспорте;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объектов контроля, отнесенных к категориям чрезвычайно высо</w:t>
      </w:r>
      <w:r>
        <w:t>кого, высокого и значительного риска.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lastRenderedPageBreak/>
        <w:t>Срок проведения обязательного профилактического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2"/>
      </w:pPr>
      <w:r>
        <w:t>6. Меры стимулирования добросовестности</w:t>
      </w:r>
    </w:p>
    <w:p w:rsidR="00E22F2D" w:rsidRDefault="00E22F2D">
      <w:pPr>
        <w:pStyle w:val="ConsPlusNormal0"/>
        <w:jc w:val="center"/>
      </w:pPr>
    </w:p>
    <w:p w:rsidR="00E22F2D" w:rsidRDefault="002F44B3">
      <w:pPr>
        <w:pStyle w:val="ConsPlusNormal0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42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21.12.2023 N 2244)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 xml:space="preserve">16(1). </w:t>
      </w:r>
      <w:proofErr w:type="gramStart"/>
      <w:r>
        <w:t>В целях мотивации контролируемых лиц к соблюдению обязательных требований контролирующий орган проводит мероприятия, направленные на нематериальное поощрение до</w:t>
      </w:r>
      <w:r>
        <w:t xml:space="preserve">бросовестных контролируемых лиц (меры стимулирования добросовестности) - присвоение контролируемому лицу </w:t>
      </w:r>
      <w:proofErr w:type="spellStart"/>
      <w:r>
        <w:t>репутационного</w:t>
      </w:r>
      <w:proofErr w:type="spellEnd"/>
      <w:r>
        <w:t xml:space="preserve"> статуса, обозначающего добросовестное соблюдение контролируемым лицом обязательных требований, предоставление контролируемому лицу права</w:t>
      </w:r>
      <w:r>
        <w:t xml:space="preserve"> публично размещать указанную информацию в открытых источниках (в том числе в информационных и рекламных целях), снижение категории риска объекта контроля до</w:t>
      </w:r>
      <w:proofErr w:type="gramEnd"/>
      <w:r>
        <w:t xml:space="preserve"> низкой, исключающее проведение плановых контрольных (надзорных) мероприятий.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Меры стимулирования д</w:t>
      </w:r>
      <w:r>
        <w:t>обросовестности применяются к контролируемым лицам, принявшим декларацию о соблюдении обязательных требований и соответствующим критерию (критериям) добросовестности.</w:t>
      </w:r>
    </w:p>
    <w:p w:rsidR="00E22F2D" w:rsidRDefault="002F44B3">
      <w:pPr>
        <w:pStyle w:val="ConsPlusNormal0"/>
        <w:spacing w:before="240"/>
        <w:ind w:firstLine="540"/>
        <w:jc w:val="both"/>
      </w:pPr>
      <w:proofErr w:type="gramStart"/>
      <w:r>
        <w:t>Оценка добросовестности контролируемых лиц, владельцев объектов контроля всех категорий р</w:t>
      </w:r>
      <w:r>
        <w:t>иска, осуществляющих деятельность не менее 3 лет, проводится территориальным органом контролирующего органа, принявшим решение об отнесении объектов контроля контролируемого лица к одной из категорий риска, в том числе на основании поступления в контролиру</w:t>
      </w:r>
      <w:r>
        <w:t>ющий орган от контролируемого лица декларации о соблюдении обязательных требований и копий документов, подтверждающих соответствие контролируемого лица критерию (критериям</w:t>
      </w:r>
      <w:proofErr w:type="gramEnd"/>
      <w:r>
        <w:t>) добросовестности, при условии заполнения в личном кабинете контролируемого лица, ра</w:t>
      </w:r>
      <w:r>
        <w:t>змещенного на официальном сайте контролирующего органа в сети "Интернет" и интегрированного с информационными системами контролирующего органа, опросной формы по виду и предмету осуществляемой деятельности.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Критериями добросовестности являются (если примен</w:t>
      </w:r>
      <w:r>
        <w:t>имо к объекту контроля):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отсутствие в течение 2 лет до даты проведения оценки по причине действия (бездействия) владельца объекта контроля транспортных происшествий (крушений и аварий), допущенных на железнодорожном транспорте;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отсутствие в течение 1 года </w:t>
      </w:r>
      <w:r>
        <w:t>до даты проведения оценки фактов несвоевременного и недостоверного представления контролируемым лицом в контролирующий орган обязательной информации, предусмотренной нормативными правовыми актами в области железнодорожного транспорта;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предоставление контро</w:t>
      </w:r>
      <w:r>
        <w:t>лируемым лицом доступа контролирующему органу к своим информационным ресурсам в рамках соглашения об информационном взаимодействии;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наличие договора добровольного страхования рисков причинения вреда (ущерба) </w:t>
      </w:r>
      <w:r>
        <w:lastRenderedPageBreak/>
        <w:t>охраняемым законом ценностям вследствие нарушени</w:t>
      </w:r>
      <w:r>
        <w:t>я контролируемым лицом обязательных требований;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наличие внедренных сертифицированных систем внутреннего контроля в соответствующей сфере деятельности.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При соответствии объекта контроля одному или нескольким критериям добросовестности такой объект контроля </w:t>
      </w:r>
      <w:r>
        <w:t>подлежит отнесению к категории низкого риска.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Декларация о соблюдении обязательных требований и копии документов, указанные в настоящем пункте, должны быть подписаны руководителем контролируемого лица.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Информирование контролируемых лиц о применении в отнош</w:t>
      </w:r>
      <w:r>
        <w:t>ении их мер стимулирования добросовестности осуществляется контролирующим органом посредством размещения соответствующих сведений на официальном сайте контролирующего органа в сети "Интернет" в срок не позднее 5 рабочих дней со дня принятия решения о приме</w:t>
      </w:r>
      <w:r>
        <w:t>нении указанных мер.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1"/>
      </w:pPr>
      <w:r>
        <w:t>VI. Осуществление государственного контроля (надзора)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>17.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</w:t>
      </w:r>
      <w:r>
        <w:t xml:space="preserve"> с органами прокуратуры.</w:t>
      </w:r>
    </w:p>
    <w:p w:rsidR="00E22F2D" w:rsidRDefault="002F44B3">
      <w:pPr>
        <w:pStyle w:val="ConsPlusNormal0"/>
        <w:spacing w:before="240"/>
        <w:ind w:firstLine="540"/>
        <w:jc w:val="both"/>
      </w:pPr>
      <w:proofErr w:type="gramStart"/>
      <w:r>
        <w:t>В случае если индивидуальный предприниматель или гражданин, являющиеся контролируемыми лицами, не могут присутствовать при проведении контрольного (надзорного) мероприятия по медицинским показаниям, подтвержденным соответствующим д</w:t>
      </w:r>
      <w:r>
        <w:t>окументом уполномоченной медицинской организации, индивидуальный предприниматель или гражданин вправе представить в контролирующий орган информацию о невозможности присутствия при проведении контрольного (надзорного) мероприятия.</w:t>
      </w:r>
      <w:proofErr w:type="gramEnd"/>
      <w:r>
        <w:t xml:space="preserve"> В связи с этим проведение </w:t>
      </w:r>
      <w:r>
        <w:t>контрольного (надзорного) мероприятия переносится контролирующим органом на срок, необходимый для устранения обстоятельств, послуживших поводом для такого обращения индивидуального предпринимателя, гражданина в контролирующий орган.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2"/>
      </w:pPr>
      <w:r>
        <w:t>1. Контрольные (надзор</w:t>
      </w:r>
      <w:r>
        <w:t>ные) мероприятия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>18. Государственный контроль (надзор) осуществляется посредством проведения следующих контрольных (надзорных) мероприятий с взаимодействием с контролируемым лицом: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43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выборочный контроль;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инспекционный визит;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45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рейдовый осмотр;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46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lastRenderedPageBreak/>
        <w:t>документарная проверка;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47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выездная проверка.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48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Государственный контроль (надзор) осуществляется посредством проведения сл</w:t>
      </w:r>
      <w:r>
        <w:t>едующих контрольных (надзорных) мероприятий без взаимодействия с контролируемым лицом: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49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наблюдение за соблюдением обязательных требований (мониторинг безопаснос</w:t>
      </w:r>
      <w:r>
        <w:t>ти);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50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выездное обследование.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51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Контрольные (надзорные) мероприяти</w:t>
      </w:r>
      <w:r>
        <w:t>я с взаимодействием с контролируемым лицом могут проводиться на плановой и внеплановой основе путем совершения следующих контрольных (надзорных) действий: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52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осмо</w:t>
      </w:r>
      <w:r>
        <w:t>тр;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опрос;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54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получение письменных объяснений;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56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инструментальное обследование;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57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отбор проб (образцов);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58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испытание;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59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экспертиза.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Внеплановые контрольные (надзорные) мероприятия проводятся при наличии оснований, указанных в </w:t>
      </w:r>
      <w:hyperlink r:id="rId6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6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6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 части</w:t>
        </w:r>
        <w:r>
          <w:rPr>
            <w:color w:val="0000FF"/>
          </w:rPr>
          <w:t xml:space="preserve"> 1 статьи 57</w:t>
        </w:r>
      </w:hyperlink>
      <w:r>
        <w:t xml:space="preserve"> Федерального закона о государственном контроле (надзоре).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lastRenderedPageBreak/>
        <w:t xml:space="preserve">Оценка контролирующим органом соблюдения контролируемыми лицами обязательных требований не может проводиться иными способами, кроме как посредством контрольных (надзорных) мероприятий, </w:t>
      </w:r>
      <w:r>
        <w:t>указанных в настоящем Положении.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 ходе инструментального обследования для проведения оценки соб</w:t>
      </w:r>
      <w:r>
        <w:t xml:space="preserve">людения контролируемым лицом обязательных требований (при необходимости)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</w:t>
      </w:r>
      <w:r>
        <w:t>использованию контролируемым лицом, а также иные средства доступа к информации.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К участию в контрольных (надзорных) мероприятиях могут привлекаться эксперты, отвечающие требованиям, предусмотренным </w:t>
      </w:r>
      <w:hyperlink r:id="rId6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33</w:t>
        </w:r>
      </w:hyperlink>
      <w:r>
        <w:t xml:space="preserve"> Федерального закона о государственном контроле (надзоре).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 случае невозможности транспортировки образца исследования к месту работы эксперта контролирующий орган обеспечивает ему беспрепятственный доступ к образцу и необходи</w:t>
      </w:r>
      <w:r>
        <w:t>мые условия для исследования.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 случае выявления при проведении внепланового контрольного (надзорного) мероприятия нарушений контролируемым лицом обязательных требований, выявления фактов представления контролируемым лицом недостоверных сведений декларация</w:t>
      </w:r>
      <w:r>
        <w:t xml:space="preserve"> соблюдения обязательных требований аннулируется решением, принимаемым по результатам контрольного (надзорного) мероприятия.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2"/>
      </w:pPr>
      <w:r>
        <w:t>2. Выборочный контроль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>19. В ходе выборочного контроля могут совершаться следующие контрольные (надзорные) действия: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осмотр;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полу</w:t>
      </w:r>
      <w:r>
        <w:t>чение письменных объяснений;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отбор проб (образцов);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инструментальное обследование;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испытание;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экспертиза.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Выборочный контроль осуществляется без уведомления, но во взаимодействии с контролируемым лицом по месту хранения и (или) реализации контролируемыми лицами продукции (товара) в целях подтверждения их соответствия обязательным требованиям в срок, в </w:t>
      </w:r>
      <w:r>
        <w:lastRenderedPageBreak/>
        <w:t xml:space="preserve">течение </w:t>
      </w:r>
      <w:r>
        <w:t>которого обычно проводятся изъятие проб (образцов) соответствующей продукции (товаров) и необходимые экспертизы.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Отбор проб (образцов) продукции (товаров) во всех случаях осуществляется в присутствии контролируемого лица или его представителя и с применени</w:t>
      </w:r>
      <w:r>
        <w:t>ем видеозаписи.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Порядок проведения инструментального обследования, испытания, экспертизы продукции (товаров) включает: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размещение уполномоченными должностными лицами контролирующего органа заявки на проведение инструментального обследования, испытания, экс</w:t>
      </w:r>
      <w:r>
        <w:t>пертизы;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представление контролируемым лицом в день обращения нормативно-технической документации на продукцию;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представление контролируемым лицом в день обращения документации, подтверждающей соответствие продукции установленным обязательным требованиям.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</w:t>
      </w:r>
      <w:r>
        <w:t>тбор проб (образцов) осуществляется инспектором, экспертом или специалистом в количестве, необходимом и достаточном для проведения инструментального обследования, испытания, экспертизы, - 5 единиц продукции.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Выборка образцов (проб) продукции по количеству </w:t>
      </w:r>
      <w:r>
        <w:t xml:space="preserve">образцов должна обеспечивать обоснованное принятие решений о соответствии выпускаемой продукции или представленной партии </w:t>
      </w:r>
      <w:proofErr w:type="gramStart"/>
      <w:r>
        <w:t>продукции</w:t>
      </w:r>
      <w:proofErr w:type="gramEnd"/>
      <w:r>
        <w:t xml:space="preserve"> установленным требованиям при положительных результатах испытаний. Объем выборки образцов (проб) продукции определяют не тол</w:t>
      </w:r>
      <w:r>
        <w:t>ько исходя из условий статистической достоверности, но и с учетом экономических затрат заявителя в случае разрушающих испытаний.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Порядок отбора проб (образцов) включает: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соответствующие мероприятия по отбору проб (образцов);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наличие протокола отбора проб (</w:t>
      </w:r>
      <w:r>
        <w:t xml:space="preserve">образцов), составленного в соответствии с требованиями Федерального </w:t>
      </w:r>
      <w:hyperlink r:id="rId6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закона</w:t>
        </w:r>
      </w:hyperlink>
      <w:r>
        <w:t xml:space="preserve"> о государственном контроле (надзоре).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Отбор проб (образцов) не может осуществляться в отношении продукции, находящейся в экс</w:t>
      </w:r>
      <w:r>
        <w:t>плуатации и являющейся элементом системы, в случае, если указанное действие приведет к изменению технических или технологических характеристик системы и созданию угрозы ее безопасной эксплуатации.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Внеплановый выборочный контроль может проводиться в отношен</w:t>
      </w:r>
      <w:r>
        <w:t>ии объектов контроля, отнесенных к категории чрезвычайно высокого, высокого, значительного, среднего, умеренного и низкого рисков.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2"/>
      </w:pPr>
      <w:r>
        <w:t>3. Инспекционный визит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 xml:space="preserve">20. В ходе инспекционного визита могут совершаться следующие контрольные (надзорные) </w:t>
      </w:r>
      <w:r>
        <w:lastRenderedPageBreak/>
        <w:t>действия: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осмот</w:t>
      </w:r>
      <w:r>
        <w:t>р;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опрос;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получение письменных объяснений;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</w:t>
      </w:r>
      <w:r>
        <w:t>уктурных подразделений) либо объекта контроля;</w:t>
      </w:r>
    </w:p>
    <w:p w:rsidR="00E22F2D" w:rsidRDefault="002F44B3">
      <w:pPr>
        <w:pStyle w:val="ConsPlusNormal0"/>
        <w:jc w:val="both"/>
      </w:pPr>
      <w:r>
        <w:t xml:space="preserve">(абзац введен </w:t>
      </w:r>
      <w:hyperlink r:id="rId66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инструментальное обследование.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Инспекционный визит без уведомления, но во взаимодействии с контролируемым лицом по месту нахождения или в местах осуществления деятельности контролируемого лица, а также в месте нахождения объекта контроля в целях предотвращения риска нарушения обязательн</w:t>
      </w:r>
      <w:r>
        <w:t>ых требований проводится в срок, не превышающий один рабочий день.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67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Внеплановый инспекционный визит может проводиться в отношении объектов контроля, отнесенных </w:t>
      </w:r>
      <w:r>
        <w:t>к категории чрезвычайно высокого, высокого, значительного, среднего, умеренного и низкого рисков.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2"/>
      </w:pPr>
      <w:r>
        <w:t>4. Рейдовый осмотр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>21. В ходе рейдового осмотра могут совершаться следующие контрольные (надзорные) действия: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осмотр;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опрос;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получение письменных объяснений</w:t>
      </w:r>
      <w:r>
        <w:t>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инструментальное обследование;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испытание.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Внеплановый рейдовый осмотр может пр</w:t>
      </w:r>
      <w:r>
        <w:t>оводиться в отношении объектов контроля, отнесенных к категории чрезвычайно высокого, высокого, значительного, среднего, умеренного и низкого рисков.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2"/>
      </w:pPr>
      <w:r>
        <w:lastRenderedPageBreak/>
        <w:t>5. Документарная проверка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>22. В ходе документарной проверки могут совершаться следующие контрольные (надзорные) действия: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получение письменных объяснений;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истребование документов.</w:t>
      </w:r>
    </w:p>
    <w:p w:rsidR="00E22F2D" w:rsidRDefault="002F44B3">
      <w:pPr>
        <w:pStyle w:val="ConsPlusNormal0"/>
        <w:spacing w:before="240"/>
        <w:ind w:firstLine="540"/>
        <w:jc w:val="both"/>
      </w:pPr>
      <w:proofErr w:type="gramStart"/>
      <w:r>
        <w:t>Документарная проверка осуществляется во взаимодействии с контролируемым лицом на основании отчетности</w:t>
      </w:r>
      <w:r>
        <w:t xml:space="preserve"> и документов, находящихся в распоряжении контролирующего органа по месту его нахождения, в срок, не превышающий 10 рабочих дней, без учета периода с даты направления контролирующим органом контролируемому лицу мотивированного запроса с требованием предста</w:t>
      </w:r>
      <w:r>
        <w:t>вить необходимые документы до даты их получения, а также периода с даты направления контролируемому лицу информации о</w:t>
      </w:r>
      <w:proofErr w:type="gramEnd"/>
      <w:r>
        <w:t xml:space="preserve"> </w:t>
      </w:r>
      <w:proofErr w:type="gramStart"/>
      <w:r>
        <w:t>выявлении ошибок и (или) противоречий в представленных контролируемым лицом документах либо о несоответствии сведений, содержащихся в этих</w:t>
      </w:r>
      <w:r>
        <w:t xml:space="preserve"> документах, сведениям, содержащимся в имеющихся у контролирующего органа документах и (или) полученным в ходе осуществления государственного контроля (надзора), и требования представить необходимые пояснения в письменной форме до даты представления указан</w:t>
      </w:r>
      <w:r>
        <w:t>ных пояснений в целях оценки соблюдения контролируемым лицом обязательных требований.</w:t>
      </w:r>
      <w:proofErr w:type="gramEnd"/>
    </w:p>
    <w:p w:rsidR="00E22F2D" w:rsidRDefault="002F44B3">
      <w:pPr>
        <w:pStyle w:val="ConsPlusNormal0"/>
        <w:jc w:val="both"/>
      </w:pPr>
      <w:r>
        <w:t xml:space="preserve">(в ред. </w:t>
      </w:r>
      <w:hyperlink r:id="rId68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Внеплановая документарная проверка может проводиться в отношении объектов</w:t>
      </w:r>
      <w:r>
        <w:t xml:space="preserve"> контроля, отнесенных к категории чрезвычайно высокого, высокого, значительного, среднего, умеренного и низкого рисков.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2"/>
      </w:pPr>
      <w:r>
        <w:t>6. Выездная проверка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>23. В ходе выездной проверки могут совершаться следующие контрольные (надзорные) действия: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осмотр;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опрос;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получение письменных объяснений;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инструментальное обследование;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испытание;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отбор проб (образцов);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экспертиза.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Выездная проверка с уведомлением и во взаимодействии с контролируемым лицом при </w:t>
      </w:r>
      <w:r>
        <w:lastRenderedPageBreak/>
        <w:t>отсутствии возможности удостовериться в п</w:t>
      </w:r>
      <w:r>
        <w:t xml:space="preserve">олноте и достоверности сведений, находящихся в документах, представленных контролируемым лицом, и оценить соответствие деятельности и действий (бездействия) контролируемого лица и (или) используемых им объектов контроля обязательным требованиям проводится </w:t>
      </w:r>
      <w:r>
        <w:t>в срок, не превышающий 10 рабочих дней.</w:t>
      </w:r>
    </w:p>
    <w:p w:rsidR="00E22F2D" w:rsidRDefault="002F44B3">
      <w:pPr>
        <w:pStyle w:val="ConsPlusNormal0"/>
        <w:jc w:val="both"/>
      </w:pPr>
      <w:r>
        <w:t xml:space="preserve">(в ред. </w:t>
      </w:r>
      <w:hyperlink r:id="rId69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2244)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 отношении одного субъекта малого предпринимательства общий срок проведения плановых выездных проверок не может превыш</w:t>
      </w:r>
      <w:r>
        <w:t>ать: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для малого предприятия - 50 часов;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для </w:t>
      </w:r>
      <w:proofErr w:type="spellStart"/>
      <w:r>
        <w:t>микропредприятия</w:t>
      </w:r>
      <w:proofErr w:type="spellEnd"/>
      <w:r>
        <w:t xml:space="preserve"> - 15 часов.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Отбор проб (образцов) продукции во всех случаях осуществляется в присутствии контролируемого лица или его представителя и (или) с применением видеозаписи.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Отбор проб и образцов осущес</w:t>
      </w:r>
      <w:r>
        <w:t>твляется инспектором, экспертом или специалистом в количестве, необходимом и достаточном для проведения инструментального обследования, испытания, экспертизы, - 5 единиц продукции.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Выборка образцов (проб) продукции по количеству образцов должна обеспечиват</w:t>
      </w:r>
      <w:r>
        <w:t xml:space="preserve">ь обоснованное принятие решений о соответствии выпускаемой продукции или представленной партии </w:t>
      </w:r>
      <w:proofErr w:type="gramStart"/>
      <w:r>
        <w:t>продукции</w:t>
      </w:r>
      <w:proofErr w:type="gramEnd"/>
      <w:r>
        <w:t xml:space="preserve"> установленным требованиям при положительных результатах испытаний. Объем выборки образцов (проб) продукции определяют не только исходя из условий стати</w:t>
      </w:r>
      <w:r>
        <w:t>стической достоверности, но и с учетом экономических затрат заявителя в случае разрушающих испытаний.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Порядок отбора проб (образцов) включает: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соответствующие мероприятия по отбору проб (образцов);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наличие протокола отбора проб (образцов), составленного в </w:t>
      </w:r>
      <w:r>
        <w:t xml:space="preserve">соответствии с требованиями Федерального </w:t>
      </w:r>
      <w:hyperlink r:id="rId7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закона</w:t>
        </w:r>
      </w:hyperlink>
      <w:r>
        <w:t xml:space="preserve"> о государственном контроле (надзоре).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Отбор проб (образцов) не может осуществляться в отношении продукции, находящейся в эксплуатации и являющейся элем</w:t>
      </w:r>
      <w:r>
        <w:t>ентом системы, в случае, если указанное действие приведет к изменению технических или технологических характеристик системы и созданию угрозы ее безопасной эксплуатации.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Внеплановая выездная проверка может проводиться в отношении объектов контроля, отнесен</w:t>
      </w:r>
      <w:r>
        <w:t>ных к категории чрезвычайно высокого, высокого, значительного, среднего, умеренного и низкого рисков.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2"/>
      </w:pPr>
      <w:r>
        <w:t>7. Выездное обследование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>24.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lastRenderedPageBreak/>
        <w:t>осмотр;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инструментальное обследование (с применением видеозаписи);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экспертиза.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Выездное обследование прово</w:t>
      </w:r>
      <w:r>
        <w:t>дится без информирования контролируемого лица.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</w:t>
      </w:r>
      <w:hyperlink r:id="rId71" w:tooltip="Федеральный закон от 10.01.2003 N 17-ФЗ (ред. от 25.12.2023) &quot;О железнодорожном тран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 виде контрол</w:t>
      </w:r>
      <w:r>
        <w:t>я.</w:t>
      </w:r>
    </w:p>
    <w:p w:rsidR="00E22F2D" w:rsidRDefault="00E22F2D">
      <w:pPr>
        <w:pStyle w:val="ConsPlusNormal0"/>
        <w:ind w:firstLine="540"/>
        <w:jc w:val="both"/>
      </w:pPr>
    </w:p>
    <w:p w:rsidR="00E22F2D" w:rsidRDefault="002F44B3">
      <w:pPr>
        <w:pStyle w:val="ConsPlusTitle0"/>
        <w:jc w:val="center"/>
        <w:outlineLvl w:val="2"/>
      </w:pPr>
      <w:r>
        <w:t>8. Наблюдение за соблюдением обязательных требований</w:t>
      </w:r>
    </w:p>
    <w:p w:rsidR="00E22F2D" w:rsidRDefault="002F44B3">
      <w:pPr>
        <w:pStyle w:val="ConsPlusTitle0"/>
        <w:jc w:val="center"/>
      </w:pPr>
      <w:r>
        <w:t>(мониторинг безопасности)</w:t>
      </w:r>
    </w:p>
    <w:p w:rsidR="00E22F2D" w:rsidRDefault="00E22F2D">
      <w:pPr>
        <w:pStyle w:val="ConsPlusNormal0"/>
        <w:jc w:val="center"/>
      </w:pPr>
    </w:p>
    <w:p w:rsidR="00E22F2D" w:rsidRDefault="002F44B3">
      <w:pPr>
        <w:pStyle w:val="ConsPlusNormal0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72" w:tooltip="Постановление Правительства РФ от 21.12.2023 N 2244 &quot;О внесении изменений в постановление Правительства Российской Федерации от 25 июня 2021 г. N 99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21.12.2023 N 2244)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 xml:space="preserve">24(1). </w:t>
      </w:r>
      <w:proofErr w:type="gramStart"/>
      <w:r>
        <w:t xml:space="preserve">Контролирующий орган при наблюдении за соблюдением обязательных требований (мониторинг безопасности) в рамках осуществления государственного контроля (надзора) </w:t>
      </w:r>
      <w:r>
        <w:t>проводит сбор, анализ данных об объектах контроля, имеющихся у контролирующего органа, в том числе данных, которые поступают в ходе межведомственного информационного взаимодействия, данных, представляемых контролируемыми лицами в рамках исполнения обязател</w:t>
      </w:r>
      <w:r>
        <w:t>ьных требований, а также данных, содержащихся в государственных и муниципальных информационных системах, данных из сети</w:t>
      </w:r>
      <w:proofErr w:type="gramEnd"/>
      <w:r>
        <w:t xml:space="preserve"> "Интернет", иных общедоступных данных, а также данных, полученных с использованием работающих в автоматическом режиме технических средст</w:t>
      </w:r>
      <w:r>
        <w:t>в фиксации правонарушений, имеющих функции фото- и киносъемки, видеозаписи.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1"/>
      </w:pPr>
      <w:r>
        <w:t>VII. Учет рисков причинения вреда (ущерба)</w:t>
      </w:r>
    </w:p>
    <w:p w:rsidR="00E22F2D" w:rsidRDefault="002F44B3">
      <w:pPr>
        <w:pStyle w:val="ConsPlusTitle0"/>
        <w:jc w:val="center"/>
      </w:pPr>
      <w:r>
        <w:t xml:space="preserve">охраняемым законом ценностям при проведении </w:t>
      </w:r>
      <w:proofErr w:type="gramStart"/>
      <w:r>
        <w:t>контрольных</w:t>
      </w:r>
      <w:proofErr w:type="gramEnd"/>
    </w:p>
    <w:p w:rsidR="00E22F2D" w:rsidRDefault="002F44B3">
      <w:pPr>
        <w:pStyle w:val="ConsPlusTitle0"/>
        <w:jc w:val="center"/>
      </w:pPr>
      <w:r>
        <w:t>(надзорных) мероприятий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>25. Плановые контрольные (надзорные) мероприятия в отно</w:t>
      </w:r>
      <w:r>
        <w:t>шении объектов контроля в зависимости от присвоенной категории риска проводятся со следующей периодичностью: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выездная проверка в отношении объектов контроля, отнесенных к категории чрезвычайно высокого риска, - один раз в год;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документарная проверка или вы</w:t>
      </w:r>
      <w:r>
        <w:t>ездная проверка в отношении объектов контроля, отнесенных к категории высокого риска, - один раз в 2 года;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документарная проверка или выездная проверка в отношении объектов контроля, отнесенных к категории значительного риска, - один раз в 3 года;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инспекци</w:t>
      </w:r>
      <w:r>
        <w:t>онный визит в отношении объектов контроля, отнесенных к категории среднего риска, - один раз в 3 года;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инспекционный визит в отношении объектов контроля, отнесенных к категории умеренного риска, - один раз в 5 лет.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lastRenderedPageBreak/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Периодичность проведения контрольных (надзорных) мероприятий изменяется в случае изменения ранее присвоенной объекту контроля к</w:t>
      </w:r>
      <w:r>
        <w:t>атегории риска причинения вреда (ущерба).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Если в ходе контрольных (надзорных) мероприятий осуществлялись фотосъемка, ауди</w:t>
      </w:r>
      <w:proofErr w:type="gramStart"/>
      <w:r>
        <w:t>о-</w:t>
      </w:r>
      <w:proofErr w:type="gramEnd"/>
      <w:r>
        <w:t xml:space="preserve"> и (или) видеозапись или иные способы фиксации доказательств, то об этом делается отметка в акте контрольного (надзорного) мероприяти</w:t>
      </w:r>
      <w:r>
        <w:t>я. В этом случае материалы фотографирования, ауди</w:t>
      </w:r>
      <w:proofErr w:type="gramStart"/>
      <w:r>
        <w:t>о-</w:t>
      </w:r>
      <w:proofErr w:type="gramEnd"/>
      <w:r>
        <w:t xml:space="preserve"> и (или) видеозаписи прилагаются к материалам контрольного (надзорного) мероприятия.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Порядок осуществления фотосъемки, ауди</w:t>
      </w:r>
      <w:proofErr w:type="gramStart"/>
      <w:r>
        <w:t>о-</w:t>
      </w:r>
      <w:proofErr w:type="gramEnd"/>
      <w:r>
        <w:t xml:space="preserve"> и (или) видеозаписи, иных способов фиксации доказательств в ходе контрольного (</w:t>
      </w:r>
      <w:r>
        <w:t>надзорного) мероприятия включает в себя: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принятие должностным лицом контролирующего органа, осуществляющим контрольное (надзорное) мероприятие, решения о применении фотосъемки, ауди</w:t>
      </w:r>
      <w:proofErr w:type="gramStart"/>
      <w:r>
        <w:t>о-</w:t>
      </w:r>
      <w:proofErr w:type="gramEnd"/>
      <w:r>
        <w:t xml:space="preserve"> и (или) видеозаписи, иных способов фиксации доказательств;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извещение кон</w:t>
      </w:r>
      <w:r>
        <w:t>тролируемого лица, а также представителя контролируемого лица о ведении фотосъемки, ауди</w:t>
      </w:r>
      <w:proofErr w:type="gramStart"/>
      <w:r>
        <w:t>о-</w:t>
      </w:r>
      <w:proofErr w:type="gramEnd"/>
      <w:r>
        <w:t xml:space="preserve"> и (или) видеозаписи, иных способов фиксации доказательств в случае осуществления контрольного (надзорного) мероприятия во взаимодействии с контролируемым лицом;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внес</w:t>
      </w:r>
      <w:r>
        <w:t>ение в акт контрольного (надзорного) мероприятия соответствующей информации о ведении фотосъемки, ауди</w:t>
      </w:r>
      <w:proofErr w:type="gramStart"/>
      <w:r>
        <w:t>о-</w:t>
      </w:r>
      <w:proofErr w:type="gramEnd"/>
      <w:r>
        <w:t xml:space="preserve"> и (или) видеозаписи, иных способов фиксации доказательств;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обеспечение сохранности информации, полученной по средствам фотосъемки, ауди</w:t>
      </w:r>
      <w:proofErr w:type="gramStart"/>
      <w:r>
        <w:t>о-</w:t>
      </w:r>
      <w:proofErr w:type="gramEnd"/>
      <w:r>
        <w:t xml:space="preserve"> и (или) видео</w:t>
      </w:r>
      <w:r>
        <w:t>записи, иных способов фиксации доказательств.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  <w:outlineLvl w:val="1"/>
      </w:pPr>
      <w:r>
        <w:t>VIII. Обжалование решений контролирующего органа, действий</w:t>
      </w:r>
    </w:p>
    <w:p w:rsidR="00E22F2D" w:rsidRDefault="002F44B3">
      <w:pPr>
        <w:pStyle w:val="ConsPlusTitle0"/>
        <w:jc w:val="center"/>
      </w:pPr>
      <w:r>
        <w:t>(бездействия) его должностных лиц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ind w:firstLine="540"/>
        <w:jc w:val="both"/>
      </w:pPr>
      <w:r>
        <w:t>26. Рассмотрение жалобы осуществляется в следующем порядке: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жалоба на решение территориального органа контролирующе</w:t>
      </w:r>
      <w:r>
        <w:t>го органа, действия (бездействие) его должностных лиц рассматривается руководителем (заместителем руководителя) указанного территориального органа либо руководителем (заместителем руководителя) контролирующего органа;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жалоба на действия (бездействие) руков</w:t>
      </w:r>
      <w:r>
        <w:t>одителя (заместителя руководителя) территориального органа контролирующего органа рассматривается контролирующим органом;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в случае обжалования решений контролирующего органа, действий (бездействия) должностных лиц центрального аппарата контролирующего орга</w:t>
      </w:r>
      <w:r>
        <w:t>на жалоба рассматривается руководителем контролирующего органа.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 xml:space="preserve">Жалоба подлежит рассмотрению указанными уполномоченными на рассмотрение жалобы органами в срок, установленный </w:t>
      </w:r>
      <w:hyperlink r:id="rId7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</w:t>
        </w:r>
        <w:r>
          <w:rPr>
            <w:color w:val="0000FF"/>
          </w:rPr>
          <w:t>ью 2 статьи 43</w:t>
        </w:r>
      </w:hyperlink>
      <w:r>
        <w:t xml:space="preserve"> Федерального закона о государственном </w:t>
      </w:r>
      <w:r>
        <w:lastRenderedPageBreak/>
        <w:t>контроле (надзоре).</w:t>
      </w:r>
    </w:p>
    <w:p w:rsidR="00E22F2D" w:rsidRDefault="00E22F2D">
      <w:pPr>
        <w:pStyle w:val="ConsPlusNormal0"/>
        <w:ind w:firstLine="540"/>
        <w:jc w:val="both"/>
      </w:pPr>
    </w:p>
    <w:p w:rsidR="00E22F2D" w:rsidRDefault="002F44B3">
      <w:pPr>
        <w:pStyle w:val="ConsPlusTitle0"/>
        <w:jc w:val="center"/>
        <w:outlineLvl w:val="1"/>
      </w:pPr>
      <w:r>
        <w:t>IX. Ключевые показатели государственного контроля (надзора)</w:t>
      </w:r>
    </w:p>
    <w:p w:rsidR="00E22F2D" w:rsidRDefault="002F44B3">
      <w:pPr>
        <w:pStyle w:val="ConsPlusTitle0"/>
        <w:jc w:val="center"/>
      </w:pPr>
      <w:r>
        <w:t>и их целевые значения</w:t>
      </w:r>
    </w:p>
    <w:p w:rsidR="00E22F2D" w:rsidRDefault="00E22F2D">
      <w:pPr>
        <w:pStyle w:val="ConsPlusNormal0"/>
        <w:jc w:val="center"/>
      </w:pPr>
    </w:p>
    <w:p w:rsidR="00E22F2D" w:rsidRDefault="002F44B3">
      <w:pPr>
        <w:pStyle w:val="ConsPlusNormal0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74" w:tooltip="Постановление Правительства РФ от 20.11.2021 N 1986 &quot;О внесении изменений в Положение о федеральном государственном контроле (надзоре) в области железнодорожного транспорт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</w:t>
      </w:r>
      <w:r>
        <w:t>от 20.11.2021 N 1986)</w:t>
      </w:r>
    </w:p>
    <w:p w:rsidR="00E22F2D" w:rsidRDefault="00E22F2D">
      <w:pPr>
        <w:pStyle w:val="ConsPlusNormal0"/>
        <w:jc w:val="center"/>
      </w:pPr>
    </w:p>
    <w:p w:rsidR="00E22F2D" w:rsidRDefault="002F44B3">
      <w:pPr>
        <w:pStyle w:val="ConsPlusNormal0"/>
        <w:ind w:firstLine="540"/>
        <w:jc w:val="both"/>
      </w:pPr>
      <w:r>
        <w:t>27. Ключевыми показателями государственного контроля (надзора) и их целевыми значениями являются: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количество пассажиров, погибших в результате транспортных происшествий и иных событий, связанных с нарушением правил безопасности движения и эксплуатации железнодорожного транспорта (человек на 100 млн. перевезенных пассажиров), в 2022 году - 3,1, в 2023 г</w:t>
      </w:r>
      <w:r>
        <w:t>оду - 2,8, в 2024 году - 2,5, в 2025 году - 2,3 и в 2026 году - 2;</w:t>
      </w:r>
    </w:p>
    <w:p w:rsidR="00E22F2D" w:rsidRDefault="002F44B3">
      <w:pPr>
        <w:pStyle w:val="ConsPlusNormal0"/>
        <w:spacing w:before="240"/>
        <w:ind w:firstLine="540"/>
        <w:jc w:val="both"/>
      </w:pPr>
      <w:r>
        <w:t>количество пассажиров, получивших тяжкие телесные повреждения в результате транспортных происшествий и иных событий, связанных с нарушением правил безопасности движения и эксплуатации желез</w:t>
      </w:r>
      <w:r>
        <w:t>нодорожного транспорта (человек на 100 млн. перевезенных пассажиров), в 2022 году - 11, в 2023 году - 10, в 2024 году - 9, в 2025 году - 8 и в 2026 году - 7.</w:t>
      </w:r>
    </w:p>
    <w:p w:rsidR="00E22F2D" w:rsidRDefault="00E22F2D">
      <w:pPr>
        <w:pStyle w:val="ConsPlusNormal0"/>
        <w:jc w:val="both"/>
      </w:pPr>
    </w:p>
    <w:p w:rsidR="00E22F2D" w:rsidRDefault="00E22F2D">
      <w:pPr>
        <w:pStyle w:val="ConsPlusNormal0"/>
        <w:jc w:val="both"/>
      </w:pPr>
    </w:p>
    <w:p w:rsidR="00E22F2D" w:rsidRDefault="00E22F2D">
      <w:pPr>
        <w:pStyle w:val="ConsPlusNormal0"/>
        <w:jc w:val="both"/>
      </w:pPr>
    </w:p>
    <w:p w:rsidR="00E22F2D" w:rsidRDefault="00E22F2D">
      <w:pPr>
        <w:pStyle w:val="ConsPlusNormal0"/>
        <w:jc w:val="both"/>
      </w:pP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Normal0"/>
        <w:jc w:val="right"/>
        <w:outlineLvl w:val="1"/>
      </w:pPr>
      <w:r>
        <w:t>Приложение</w:t>
      </w:r>
    </w:p>
    <w:p w:rsidR="00E22F2D" w:rsidRDefault="002F44B3">
      <w:pPr>
        <w:pStyle w:val="ConsPlusNormal0"/>
        <w:jc w:val="right"/>
      </w:pPr>
      <w:r>
        <w:t xml:space="preserve">к Положению о </w:t>
      </w:r>
      <w:proofErr w:type="gramStart"/>
      <w:r>
        <w:t>федеральном</w:t>
      </w:r>
      <w:proofErr w:type="gramEnd"/>
    </w:p>
    <w:p w:rsidR="00E22F2D" w:rsidRDefault="002F44B3">
      <w:pPr>
        <w:pStyle w:val="ConsPlusNormal0"/>
        <w:jc w:val="right"/>
      </w:pPr>
      <w:r>
        <w:t xml:space="preserve">государственном </w:t>
      </w:r>
      <w:proofErr w:type="gramStart"/>
      <w:r>
        <w:t>контроле</w:t>
      </w:r>
      <w:proofErr w:type="gramEnd"/>
    </w:p>
    <w:p w:rsidR="00E22F2D" w:rsidRDefault="002F44B3">
      <w:pPr>
        <w:pStyle w:val="ConsPlusNormal0"/>
        <w:jc w:val="right"/>
      </w:pPr>
      <w:r>
        <w:t>(</w:t>
      </w:r>
      <w:proofErr w:type="gramStart"/>
      <w:r>
        <w:t>надзоре</w:t>
      </w:r>
      <w:proofErr w:type="gramEnd"/>
      <w:r>
        <w:t>) в области</w:t>
      </w:r>
    </w:p>
    <w:p w:rsidR="00E22F2D" w:rsidRDefault="002F44B3">
      <w:pPr>
        <w:pStyle w:val="ConsPlusNormal0"/>
        <w:jc w:val="right"/>
      </w:pPr>
      <w:r>
        <w:t>железнодоро</w:t>
      </w:r>
      <w:r>
        <w:t>жного транспорта</w:t>
      </w:r>
    </w:p>
    <w:p w:rsidR="00E22F2D" w:rsidRDefault="00E22F2D">
      <w:pPr>
        <w:pStyle w:val="ConsPlusNormal0"/>
        <w:jc w:val="both"/>
      </w:pPr>
    </w:p>
    <w:p w:rsidR="00E22F2D" w:rsidRDefault="002F44B3">
      <w:pPr>
        <w:pStyle w:val="ConsPlusTitle0"/>
        <w:jc w:val="center"/>
      </w:pPr>
      <w:bookmarkStart w:id="3" w:name="P435"/>
      <w:bookmarkEnd w:id="3"/>
      <w:r>
        <w:t>МАТРИЦА КАТЕГОРИЙ РИСКА ПРИЧИНЕНИЯ ВРЕДА (УЩЕРБА)</w:t>
      </w:r>
    </w:p>
    <w:p w:rsidR="00E22F2D" w:rsidRDefault="00E22F2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5"/>
        <w:gridCol w:w="3025"/>
        <w:gridCol w:w="3025"/>
      </w:tblGrid>
      <w:tr w:rsidR="00E22F2D"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2F2D" w:rsidRDefault="002F44B3">
            <w:pPr>
              <w:pStyle w:val="ConsPlusNormal0"/>
              <w:jc w:val="center"/>
            </w:pPr>
            <w:r>
              <w:t>Категория риска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:rsidR="00E22F2D" w:rsidRDefault="002F44B3">
            <w:pPr>
              <w:pStyle w:val="ConsPlusNormal0"/>
              <w:jc w:val="center"/>
            </w:pPr>
            <w:r>
              <w:t>Категория тяжести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Категория вероятности</w:t>
            </w:r>
          </w:p>
        </w:tc>
      </w:tr>
      <w:tr w:rsidR="00E22F2D">
        <w:tblPrEx>
          <w:tblBorders>
            <w:insideV w:val="none" w:sz="0" w:space="0" w:color="auto"/>
          </w:tblBorders>
        </w:tblPrEx>
        <w:tc>
          <w:tcPr>
            <w:tcW w:w="30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</w:pPr>
            <w:r>
              <w:t>Чрезвычайно высокий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1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1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</w:pPr>
            <w:r>
              <w:t>Высокий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2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2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В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1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В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2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</w:pPr>
            <w:r>
              <w:t>Значительный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3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3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В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3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Г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1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Г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2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Г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3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</w:pPr>
            <w:r>
              <w:t>Средний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4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4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В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4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Г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4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</w:pPr>
            <w:r>
              <w:t>Умеренный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5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5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В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5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Г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5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Д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1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Д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2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Д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3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Д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4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F2D" w:rsidRDefault="002F44B3">
            <w:pPr>
              <w:pStyle w:val="ConsPlusNormal0"/>
            </w:pPr>
            <w:r>
              <w:t>Низкий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6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6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В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6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Г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6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Д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5</w:t>
            </w:r>
          </w:p>
        </w:tc>
      </w:tr>
      <w:tr w:rsidR="00E22F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F2D" w:rsidRDefault="00E22F2D">
            <w:pPr>
              <w:pStyle w:val="ConsPlusNormal0"/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Д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F2D" w:rsidRDefault="002F44B3">
            <w:pPr>
              <w:pStyle w:val="ConsPlusNormal0"/>
              <w:jc w:val="center"/>
            </w:pPr>
            <w:r>
              <w:t>6</w:t>
            </w:r>
          </w:p>
        </w:tc>
      </w:tr>
    </w:tbl>
    <w:p w:rsidR="00E22F2D" w:rsidRDefault="00E22F2D">
      <w:pPr>
        <w:pStyle w:val="ConsPlusNormal0"/>
        <w:jc w:val="both"/>
      </w:pPr>
    </w:p>
    <w:p w:rsidR="00E22F2D" w:rsidRDefault="00E22F2D">
      <w:pPr>
        <w:pStyle w:val="ConsPlusNormal0"/>
        <w:jc w:val="both"/>
      </w:pPr>
    </w:p>
    <w:p w:rsidR="00E22F2D" w:rsidRDefault="00E22F2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22F2D">
      <w:headerReference w:type="default" r:id="rId75"/>
      <w:footerReference w:type="default" r:id="rId76"/>
      <w:headerReference w:type="first" r:id="rId77"/>
      <w:footerReference w:type="first" r:id="rId7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B3" w:rsidRDefault="002F44B3">
      <w:r>
        <w:separator/>
      </w:r>
    </w:p>
  </w:endnote>
  <w:endnote w:type="continuationSeparator" w:id="0">
    <w:p w:rsidR="002F44B3" w:rsidRDefault="002F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F2D" w:rsidRDefault="00E22F2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22F2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22F2D" w:rsidRDefault="002F44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22F2D" w:rsidRDefault="002F44B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22F2D" w:rsidRDefault="002F44B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E4EB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E4EB1">
            <w:rPr>
              <w:rFonts w:ascii="Tahoma" w:hAnsi="Tahoma" w:cs="Tahoma"/>
              <w:noProof/>
            </w:rPr>
            <w:t>24</w:t>
          </w:r>
          <w:r>
            <w:fldChar w:fldCharType="end"/>
          </w:r>
        </w:p>
      </w:tc>
    </w:tr>
  </w:tbl>
  <w:p w:rsidR="00E22F2D" w:rsidRDefault="002F44B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F2D" w:rsidRDefault="00E22F2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22F2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22F2D" w:rsidRDefault="002F44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22F2D" w:rsidRDefault="002F44B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22F2D" w:rsidRDefault="002F44B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E4EB1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E4EB1">
            <w:rPr>
              <w:rFonts w:ascii="Tahoma" w:hAnsi="Tahoma" w:cs="Tahoma"/>
              <w:noProof/>
            </w:rPr>
            <w:t>24</w:t>
          </w:r>
          <w:r>
            <w:fldChar w:fldCharType="end"/>
          </w:r>
        </w:p>
      </w:tc>
    </w:tr>
  </w:tbl>
  <w:p w:rsidR="00E22F2D" w:rsidRDefault="002F44B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B3" w:rsidRDefault="002F44B3">
      <w:r>
        <w:separator/>
      </w:r>
    </w:p>
  </w:footnote>
  <w:footnote w:type="continuationSeparator" w:id="0">
    <w:p w:rsidR="002F44B3" w:rsidRDefault="002F4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22F2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22F2D" w:rsidRDefault="002F44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25.06.2021 N 991</w:t>
          </w:r>
          <w:r>
            <w:rPr>
              <w:rFonts w:ascii="Tahoma" w:hAnsi="Tahoma" w:cs="Tahoma"/>
              <w:sz w:val="16"/>
              <w:szCs w:val="16"/>
            </w:rPr>
            <w:br/>
            <w:t>(ред. от 21.12.2023)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 xml:space="preserve">Об утверждении Положения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федеральном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государс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22F2D" w:rsidRDefault="002F44B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:rsidR="00E22F2D" w:rsidRDefault="00E22F2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22F2D" w:rsidRDefault="00E22F2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22F2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22F2D" w:rsidRDefault="002F44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25.06.20</w:t>
          </w:r>
          <w:r>
            <w:rPr>
              <w:rFonts w:ascii="Tahoma" w:hAnsi="Tahoma" w:cs="Tahoma"/>
              <w:sz w:val="16"/>
              <w:szCs w:val="16"/>
            </w:rPr>
            <w:t>21 N 991</w:t>
          </w:r>
          <w:r>
            <w:rPr>
              <w:rFonts w:ascii="Tahoma" w:hAnsi="Tahoma" w:cs="Tahoma"/>
              <w:sz w:val="16"/>
              <w:szCs w:val="16"/>
            </w:rPr>
            <w:br/>
            <w:t>(ред. от 21.12.2023)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федеральном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государс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22F2D" w:rsidRDefault="002F44B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:rsidR="00E22F2D" w:rsidRDefault="00E22F2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22F2D" w:rsidRDefault="00E22F2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2D"/>
    <w:rsid w:val="002F44B3"/>
    <w:rsid w:val="00DE4EB1"/>
    <w:rsid w:val="00E2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E4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E4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6567&amp;date=20.08.2025&amp;dst=100170&amp;field=134" TargetMode="External"/><Relationship Id="rId21" Type="http://schemas.openxmlformats.org/officeDocument/2006/relationships/hyperlink" Target="https://login.consultant.ru/link/?req=doc&amp;base=LAW&amp;n=444499&amp;date=20.08.2025&amp;dst=5874&amp;field=134" TargetMode="External"/><Relationship Id="rId42" Type="http://schemas.openxmlformats.org/officeDocument/2006/relationships/hyperlink" Target="https://login.consultant.ru/link/?req=doc&amp;base=LAW&amp;n=465299&amp;date=20.08.2025&amp;dst=100043&amp;field=134" TargetMode="External"/><Relationship Id="rId47" Type="http://schemas.openxmlformats.org/officeDocument/2006/relationships/hyperlink" Target="https://login.consultant.ru/link/?req=doc&amp;base=LAW&amp;n=465299&amp;date=20.08.2025&amp;dst=100062&amp;field=134" TargetMode="External"/><Relationship Id="rId63" Type="http://schemas.openxmlformats.org/officeDocument/2006/relationships/hyperlink" Target="https://login.consultant.ru/link/?req=doc&amp;base=LAW&amp;n=496567&amp;date=20.08.2025&amp;dst=100638&amp;field=134" TargetMode="External"/><Relationship Id="rId68" Type="http://schemas.openxmlformats.org/officeDocument/2006/relationships/hyperlink" Target="https://login.consultant.ru/link/?req=doc&amp;base=LAW&amp;n=465299&amp;date=20.08.2025&amp;dst=100080&amp;field=134" TargetMode="External"/><Relationship Id="rId16" Type="http://schemas.openxmlformats.org/officeDocument/2006/relationships/hyperlink" Target="https://login.consultant.ru/link/?req=doc&amp;base=LAW&amp;n=508514&amp;date=20.08.2025" TargetMode="External"/><Relationship Id="rId11" Type="http://schemas.openxmlformats.org/officeDocument/2006/relationships/hyperlink" Target="https://login.consultant.ru/link/?req=doc&amp;base=LAW&amp;n=400896&amp;date=20.08.2025&amp;dst=100005&amp;field=134" TargetMode="External"/><Relationship Id="rId24" Type="http://schemas.openxmlformats.org/officeDocument/2006/relationships/hyperlink" Target="https://login.consultant.ru/link/?req=doc&amp;base=LAW&amp;n=465299&amp;date=20.08.2025&amp;dst=100010&amp;field=134" TargetMode="External"/><Relationship Id="rId32" Type="http://schemas.openxmlformats.org/officeDocument/2006/relationships/hyperlink" Target="https://login.consultant.ru/link/?req=doc&amp;base=LAW&amp;n=465299&amp;date=20.08.2025&amp;dst=100014&amp;field=134" TargetMode="External"/><Relationship Id="rId37" Type="http://schemas.openxmlformats.org/officeDocument/2006/relationships/hyperlink" Target="https://login.consultant.ru/link/?req=doc&amp;base=LAW&amp;n=465299&amp;date=20.08.2025&amp;dst=100038&amp;field=134" TargetMode="External"/><Relationship Id="rId40" Type="http://schemas.openxmlformats.org/officeDocument/2006/relationships/hyperlink" Target="https://login.consultant.ru/link/?req=doc&amp;base=LAW&amp;n=443627&amp;date=20.08.2025&amp;dst=100007&amp;field=134" TargetMode="External"/><Relationship Id="rId45" Type="http://schemas.openxmlformats.org/officeDocument/2006/relationships/hyperlink" Target="https://login.consultant.ru/link/?req=doc&amp;base=LAW&amp;n=465299&amp;date=20.08.2025&amp;dst=100060&amp;field=134" TargetMode="External"/><Relationship Id="rId53" Type="http://schemas.openxmlformats.org/officeDocument/2006/relationships/hyperlink" Target="https://login.consultant.ru/link/?req=doc&amp;base=LAW&amp;n=465299&amp;date=20.08.2025&amp;dst=100068&amp;field=134" TargetMode="External"/><Relationship Id="rId58" Type="http://schemas.openxmlformats.org/officeDocument/2006/relationships/hyperlink" Target="https://login.consultant.ru/link/?req=doc&amp;base=LAW&amp;n=465299&amp;date=20.08.2025&amp;dst=100073&amp;field=134" TargetMode="External"/><Relationship Id="rId66" Type="http://schemas.openxmlformats.org/officeDocument/2006/relationships/hyperlink" Target="https://login.consultant.ru/link/?req=doc&amp;base=LAW&amp;n=465299&amp;date=20.08.2025&amp;dst=100077&amp;field=134" TargetMode="External"/><Relationship Id="rId74" Type="http://schemas.openxmlformats.org/officeDocument/2006/relationships/hyperlink" Target="https://login.consultant.ru/link/?req=doc&amp;base=LAW&amp;n=400896&amp;date=20.08.2025&amp;dst=100010&amp;field=134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96567&amp;date=20.08.2025&amp;dst=100634&amp;field=134" TargetMode="External"/><Relationship Id="rId19" Type="http://schemas.openxmlformats.org/officeDocument/2006/relationships/hyperlink" Target="https://login.consultant.ru/link/?req=doc&amp;base=LAW&amp;n=444499&amp;date=20.08.2025&amp;dst=4563&amp;field=134" TargetMode="External"/><Relationship Id="rId14" Type="http://schemas.openxmlformats.org/officeDocument/2006/relationships/hyperlink" Target="https://login.consultant.ru/link/?req=doc&amp;base=LAW&amp;n=456522&amp;date=20.08.2025" TargetMode="External"/><Relationship Id="rId22" Type="http://schemas.openxmlformats.org/officeDocument/2006/relationships/hyperlink" Target="https://login.consultant.ru/link/?req=doc&amp;base=LAW&amp;n=444499&amp;date=20.08.2025&amp;dst=6377&amp;field=134" TargetMode="External"/><Relationship Id="rId27" Type="http://schemas.openxmlformats.org/officeDocument/2006/relationships/hyperlink" Target="https://login.consultant.ru/link/?req=doc&amp;base=LAW&amp;n=496567&amp;date=20.08.2025&amp;dst=100171&amp;field=134" TargetMode="External"/><Relationship Id="rId30" Type="http://schemas.openxmlformats.org/officeDocument/2006/relationships/hyperlink" Target="https://login.consultant.ru/link/?req=doc&amp;base=LAW&amp;n=444499&amp;date=20.08.2025&amp;dst=4469&amp;field=134" TargetMode="External"/><Relationship Id="rId35" Type="http://schemas.openxmlformats.org/officeDocument/2006/relationships/hyperlink" Target="https://login.consultant.ru/link/?req=doc&amp;base=LAW&amp;n=465299&amp;date=20.08.2025&amp;dst=100035&amp;field=134" TargetMode="External"/><Relationship Id="rId43" Type="http://schemas.openxmlformats.org/officeDocument/2006/relationships/hyperlink" Target="https://login.consultant.ru/link/?req=doc&amp;base=LAW&amp;n=465299&amp;date=20.08.2025&amp;dst=100057&amp;field=134" TargetMode="External"/><Relationship Id="rId48" Type="http://schemas.openxmlformats.org/officeDocument/2006/relationships/hyperlink" Target="https://login.consultant.ru/link/?req=doc&amp;base=LAW&amp;n=465299&amp;date=20.08.2025&amp;dst=100063&amp;field=134" TargetMode="External"/><Relationship Id="rId56" Type="http://schemas.openxmlformats.org/officeDocument/2006/relationships/hyperlink" Target="https://login.consultant.ru/link/?req=doc&amp;base=LAW&amp;n=465299&amp;date=20.08.2025&amp;dst=100071&amp;field=134" TargetMode="External"/><Relationship Id="rId64" Type="http://schemas.openxmlformats.org/officeDocument/2006/relationships/hyperlink" Target="https://login.consultant.ru/link/?req=doc&amp;base=LAW&amp;n=496567&amp;date=20.08.2025&amp;dst=100370&amp;field=134" TargetMode="External"/><Relationship Id="rId69" Type="http://schemas.openxmlformats.org/officeDocument/2006/relationships/hyperlink" Target="https://login.consultant.ru/link/?req=doc&amp;base=LAW&amp;n=465299&amp;date=20.08.2025&amp;dst=100081&amp;field=134" TargetMode="External"/><Relationship Id="rId77" Type="http://schemas.openxmlformats.org/officeDocument/2006/relationships/header" Target="header2.xml"/><Relationship Id="rId8" Type="http://schemas.openxmlformats.org/officeDocument/2006/relationships/hyperlink" Target="https://login.consultant.ru/link/?req=doc&amp;base=LAW&amp;n=465299&amp;date=20.08.2025&amp;dst=100005&amp;field=134" TargetMode="External"/><Relationship Id="rId51" Type="http://schemas.openxmlformats.org/officeDocument/2006/relationships/hyperlink" Target="https://login.consultant.ru/link/?req=doc&amp;base=LAW&amp;n=465299&amp;date=20.08.2025&amp;dst=100066&amp;field=134" TargetMode="External"/><Relationship Id="rId72" Type="http://schemas.openxmlformats.org/officeDocument/2006/relationships/hyperlink" Target="https://login.consultant.ru/link/?req=doc&amp;base=LAW&amp;n=465299&amp;date=20.08.2025&amp;dst=100082&amp;field=134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5299&amp;date=20.08.2025&amp;dst=100005&amp;field=134" TargetMode="External"/><Relationship Id="rId17" Type="http://schemas.openxmlformats.org/officeDocument/2006/relationships/hyperlink" Target="https://login.consultant.ru/link/?req=doc&amp;base=LAW&amp;n=444499&amp;date=20.08.2025&amp;dst=3389&amp;field=134" TargetMode="External"/><Relationship Id="rId25" Type="http://schemas.openxmlformats.org/officeDocument/2006/relationships/hyperlink" Target="https://login.consultant.ru/link/?req=doc&amp;base=LAW&amp;n=496567&amp;date=20.08.2025&amp;dst=100315&amp;field=134" TargetMode="External"/><Relationship Id="rId33" Type="http://schemas.openxmlformats.org/officeDocument/2006/relationships/hyperlink" Target="https://login.consultant.ru/link/?req=doc&amp;base=LAW&amp;n=465299&amp;date=20.08.2025&amp;dst=100032&amp;field=134" TargetMode="External"/><Relationship Id="rId38" Type="http://schemas.openxmlformats.org/officeDocument/2006/relationships/hyperlink" Target="https://login.consultant.ru/link/?req=doc&amp;base=LAW&amp;n=465299&amp;date=20.08.2025&amp;dst=100040&amp;field=134" TargetMode="External"/><Relationship Id="rId46" Type="http://schemas.openxmlformats.org/officeDocument/2006/relationships/hyperlink" Target="https://login.consultant.ru/link/?req=doc&amp;base=LAW&amp;n=465299&amp;date=20.08.2025&amp;dst=100061&amp;field=134" TargetMode="External"/><Relationship Id="rId59" Type="http://schemas.openxmlformats.org/officeDocument/2006/relationships/hyperlink" Target="https://login.consultant.ru/link/?req=doc&amp;base=LAW&amp;n=465299&amp;date=20.08.2025&amp;dst=100074&amp;field=134" TargetMode="External"/><Relationship Id="rId67" Type="http://schemas.openxmlformats.org/officeDocument/2006/relationships/hyperlink" Target="https://login.consultant.ru/link/?req=doc&amp;base=LAW&amp;n=465299&amp;date=20.08.2025&amp;dst=100079&amp;field=134" TargetMode="External"/><Relationship Id="rId20" Type="http://schemas.openxmlformats.org/officeDocument/2006/relationships/hyperlink" Target="https://login.consultant.ru/link/?req=doc&amp;base=LAW&amp;n=444499&amp;date=20.08.2025&amp;dst=5235&amp;field=134" TargetMode="External"/><Relationship Id="rId41" Type="http://schemas.openxmlformats.org/officeDocument/2006/relationships/hyperlink" Target="https://login.consultant.ru/link/?req=doc&amp;base=LAW&amp;n=465299&amp;date=20.08.2025&amp;dst=100042&amp;field=134" TargetMode="External"/><Relationship Id="rId54" Type="http://schemas.openxmlformats.org/officeDocument/2006/relationships/hyperlink" Target="https://login.consultant.ru/link/?req=doc&amp;base=LAW&amp;n=465299&amp;date=20.08.2025&amp;dst=100069&amp;field=134" TargetMode="External"/><Relationship Id="rId62" Type="http://schemas.openxmlformats.org/officeDocument/2006/relationships/hyperlink" Target="https://login.consultant.ru/link/?req=doc&amp;base=LAW&amp;n=496567&amp;date=20.08.2025&amp;dst=100636&amp;field=134" TargetMode="External"/><Relationship Id="rId70" Type="http://schemas.openxmlformats.org/officeDocument/2006/relationships/hyperlink" Target="https://login.consultant.ru/link/?req=doc&amp;base=LAW&amp;n=496567&amp;date=20.08.2025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6522&amp;date=20.08.2025" TargetMode="External"/><Relationship Id="rId23" Type="http://schemas.openxmlformats.org/officeDocument/2006/relationships/hyperlink" Target="https://login.consultant.ru/link/?req=doc&amp;base=LAW&amp;n=465299&amp;date=20.08.2025&amp;dst=100009&amp;field=134" TargetMode="External"/><Relationship Id="rId28" Type="http://schemas.openxmlformats.org/officeDocument/2006/relationships/hyperlink" Target="https://login.consultant.ru/link/?req=doc&amp;base=LAW&amp;n=496567&amp;date=20.08.2025&amp;dst=101116&amp;field=134" TargetMode="External"/><Relationship Id="rId36" Type="http://schemas.openxmlformats.org/officeDocument/2006/relationships/hyperlink" Target="https://login.consultant.ru/link/?req=doc&amp;base=LAW&amp;n=465299&amp;date=20.08.2025&amp;dst=100037&amp;field=134" TargetMode="External"/><Relationship Id="rId49" Type="http://schemas.openxmlformats.org/officeDocument/2006/relationships/hyperlink" Target="https://login.consultant.ru/link/?req=doc&amp;base=LAW&amp;n=465299&amp;date=20.08.2025&amp;dst=100064&amp;field=134" TargetMode="External"/><Relationship Id="rId57" Type="http://schemas.openxmlformats.org/officeDocument/2006/relationships/hyperlink" Target="https://login.consultant.ru/link/?req=doc&amp;base=LAW&amp;n=465299&amp;date=20.08.2025&amp;dst=100072&amp;field=134" TargetMode="External"/><Relationship Id="rId10" Type="http://schemas.openxmlformats.org/officeDocument/2006/relationships/hyperlink" Target="https://login.consultant.ru/link/?req=doc&amp;base=LAW&amp;n=496567&amp;date=20.08.2025&amp;dst=100085&amp;field=134" TargetMode="External"/><Relationship Id="rId31" Type="http://schemas.openxmlformats.org/officeDocument/2006/relationships/hyperlink" Target="https://login.consultant.ru/link/?req=doc&amp;base=LAW&amp;n=444499&amp;date=20.08.2025&amp;dst=5803&amp;field=134" TargetMode="External"/><Relationship Id="rId44" Type="http://schemas.openxmlformats.org/officeDocument/2006/relationships/hyperlink" Target="https://login.consultant.ru/link/?req=doc&amp;base=LAW&amp;n=465299&amp;date=20.08.2025&amp;dst=100059&amp;field=134" TargetMode="External"/><Relationship Id="rId52" Type="http://schemas.openxmlformats.org/officeDocument/2006/relationships/hyperlink" Target="https://login.consultant.ru/link/?req=doc&amp;base=LAW&amp;n=465299&amp;date=20.08.2025&amp;dst=100067&amp;field=134" TargetMode="External"/><Relationship Id="rId60" Type="http://schemas.openxmlformats.org/officeDocument/2006/relationships/hyperlink" Target="https://login.consultant.ru/link/?req=doc&amp;base=LAW&amp;n=465299&amp;date=20.08.2025&amp;dst=100075&amp;field=134" TargetMode="External"/><Relationship Id="rId65" Type="http://schemas.openxmlformats.org/officeDocument/2006/relationships/hyperlink" Target="https://login.consultant.ru/link/?req=doc&amp;base=LAW&amp;n=496567&amp;date=20.08.2025" TargetMode="External"/><Relationship Id="rId73" Type="http://schemas.openxmlformats.org/officeDocument/2006/relationships/hyperlink" Target="https://login.consultant.ru/link/?req=doc&amp;base=LAW&amp;n=496567&amp;date=20.08.2025&amp;dst=101163&amp;field=134" TargetMode="External"/><Relationship Id="rId78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6522&amp;date=20.08.2025&amp;dst=73&amp;field=134" TargetMode="External"/><Relationship Id="rId13" Type="http://schemas.openxmlformats.org/officeDocument/2006/relationships/hyperlink" Target="https://login.consultant.ru/link/?req=doc&amp;base=LAW&amp;n=456522&amp;date=20.08.2025" TargetMode="External"/><Relationship Id="rId18" Type="http://schemas.openxmlformats.org/officeDocument/2006/relationships/hyperlink" Target="https://login.consultant.ru/link/?req=doc&amp;base=LAW&amp;n=444499&amp;date=20.08.2025&amp;dst=3997&amp;field=134" TargetMode="External"/><Relationship Id="rId39" Type="http://schemas.openxmlformats.org/officeDocument/2006/relationships/hyperlink" Target="https://login.consultant.ru/link/?req=doc&amp;base=LAW&amp;n=496567&amp;date=20.08.2025&amp;dst=100547&amp;field=134" TargetMode="External"/><Relationship Id="rId34" Type="http://schemas.openxmlformats.org/officeDocument/2006/relationships/hyperlink" Target="https://login.consultant.ru/link/?req=doc&amp;base=LAW&amp;n=465299&amp;date=20.08.2025&amp;dst=100034&amp;field=134" TargetMode="External"/><Relationship Id="rId50" Type="http://schemas.openxmlformats.org/officeDocument/2006/relationships/hyperlink" Target="https://login.consultant.ru/link/?req=doc&amp;base=LAW&amp;n=465299&amp;date=20.08.2025&amp;dst=100065&amp;field=134" TargetMode="External"/><Relationship Id="rId55" Type="http://schemas.openxmlformats.org/officeDocument/2006/relationships/hyperlink" Target="https://login.consultant.ru/link/?req=doc&amp;base=LAW&amp;n=465299&amp;date=20.08.2025&amp;dst=100070&amp;field=134" TargetMode="External"/><Relationship Id="rId76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00896&amp;date=20.08.2025&amp;dst=100005&amp;field=134" TargetMode="External"/><Relationship Id="rId71" Type="http://schemas.openxmlformats.org/officeDocument/2006/relationships/hyperlink" Target="https://login.consultant.ru/link/?req=doc&amp;base=LAW&amp;n=456522&amp;date=20.08.202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44499&amp;date=20.08.2025&amp;dst=330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10635</Words>
  <Characters>60622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25.06.2021 N 991
(ред. от 21.12.2023)
"Об утверждении Положения о федеральном государственном контроле (надзоре) в области железнодорожного транспорта"</vt:lpstr>
    </vt:vector>
  </TitlesOfParts>
  <Company>КонсультантПлюс Версия 4024.00.50</Company>
  <LinksUpToDate>false</LinksUpToDate>
  <CharactersWithSpaces>71115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25.06.2021 N 991
(ред. от 21.12.2023)
"Об утверждении Положения о федеральном государственном контроле (надзоре) в области железнодорожного транспорта"</dc:title>
  <dc:creator>Канатчикова Екатерина Юрьевна</dc:creator>
  <cp:lastModifiedBy>Канатчикова Екатерина Юрьевна</cp:lastModifiedBy>
  <cp:revision>2</cp:revision>
  <dcterms:created xsi:type="dcterms:W3CDTF">2025-08-20T06:56:00Z</dcterms:created>
  <dcterms:modified xsi:type="dcterms:W3CDTF">2025-08-20T06:56:00Z</dcterms:modified>
</cp:coreProperties>
</file>